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i w:val="0"/>
          <w:iCs w:val="0"/>
          <w:color w:val="000000"/>
          <w:kern w:val="0"/>
          <w:sz w:val="44"/>
          <w:szCs w:val="44"/>
          <w:u w:val="none"/>
          <w:lang w:val="en-US" w:eastAsia="zh-CN" w:bidi="ar"/>
        </w:rPr>
      </w:pPr>
      <w:bookmarkStart w:id="0" w:name="_Toc3937"/>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i w:val="0"/>
          <w:iCs w:val="0"/>
          <w:color w:val="000000"/>
          <w:kern w:val="0"/>
          <w:sz w:val="44"/>
          <w:szCs w:val="44"/>
          <w:u w:val="none"/>
          <w:lang w:val="en-US" w:eastAsia="zh-CN" w:bidi="ar"/>
        </w:rPr>
        <w:t>新型载体蛋白的筛选和新型载体疫苗</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olor w:val="000000"/>
          <w:kern w:val="0"/>
          <w:sz w:val="44"/>
          <w:szCs w:val="44"/>
          <w:u w:val="none"/>
          <w:lang w:val="en-US" w:eastAsia="zh-CN" w:bidi="ar"/>
        </w:rPr>
        <w:t>关键技术</w:t>
      </w:r>
      <w:r>
        <w:rPr>
          <w:rFonts w:hint="eastAsia" w:ascii="方正小标宋_GBK" w:hAnsi="方正小标宋_GBK" w:eastAsia="方正小标宋_GBK" w:cs="方正小标宋_GBK"/>
          <w:sz w:val="44"/>
          <w:szCs w:val="44"/>
        </w:rPr>
        <w:t>”</w:t>
      </w:r>
      <w:bookmarkEnd w:id="0"/>
      <w:bookmarkStart w:id="1" w:name="_Toc24413"/>
      <w:r>
        <w:rPr>
          <w:rFonts w:hint="eastAsia" w:ascii="方正小标宋_GBK" w:hAnsi="方正小标宋_GBK" w:eastAsia="方正小标宋_GBK" w:cs="方正小标宋_GBK"/>
          <w:sz w:val="44"/>
          <w:szCs w:val="44"/>
        </w:rPr>
        <w:t>揭榜制项目需求表</w:t>
      </w:r>
      <w:bookmarkEnd w:id="1"/>
    </w:p>
    <w:tbl>
      <w:tblPr>
        <w:tblStyle w:val="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921"/>
        <w:gridCol w:w="698"/>
        <w:gridCol w:w="2299"/>
        <w:gridCol w:w="698"/>
        <w:gridCol w:w="336"/>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2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所属产业领域或</w:t>
            </w:r>
          </w:p>
          <w:p>
            <w:pPr>
              <w:snapToGrid w:val="0"/>
              <w:jc w:val="center"/>
              <w:rPr>
                <w:rFonts w:ascii="Times New Roman" w:hAnsi="Times New Roman"/>
                <w:kern w:val="0"/>
                <w:sz w:val="20"/>
              </w:rPr>
            </w:pPr>
            <w:r>
              <w:rPr>
                <w:rFonts w:ascii="Times New Roman" w:hAnsi="Times New Roman"/>
                <w:b/>
                <w:bCs/>
                <w:kern w:val="0"/>
                <w:sz w:val="20"/>
              </w:rPr>
              <w:t>产业链</w:t>
            </w:r>
          </w:p>
        </w:tc>
        <w:tc>
          <w:tcPr>
            <w:tcW w:w="29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kern w:val="0"/>
                <w:sz w:val="20"/>
              </w:rPr>
            </w:pPr>
            <w:r>
              <w:rPr>
                <w:rFonts w:hint="default" w:ascii="Times New Roman" w:hAnsi="Times New Roman" w:eastAsia="方正仿宋_GBK" w:cs="Times New Roman"/>
                <w:kern w:val="0"/>
                <w:sz w:val="20"/>
                <w:szCs w:val="20"/>
              </w:rPr>
              <w:t>生物医药</w:t>
            </w:r>
          </w:p>
        </w:tc>
        <w:tc>
          <w:tcPr>
            <w:tcW w:w="10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细分</w:t>
            </w:r>
          </w:p>
          <w:p>
            <w:pPr>
              <w:snapToGrid w:val="0"/>
              <w:jc w:val="center"/>
              <w:rPr>
                <w:rFonts w:ascii="Times New Roman" w:hAnsi="Times New Roman"/>
                <w:kern w:val="0"/>
                <w:sz w:val="20"/>
              </w:rPr>
            </w:pPr>
            <w:r>
              <w:rPr>
                <w:rFonts w:ascii="Times New Roman" w:hAnsi="Times New Roman"/>
                <w:b/>
                <w:bCs/>
                <w:kern w:val="0"/>
                <w:sz w:val="20"/>
              </w:rPr>
              <w:t>方向</w:t>
            </w:r>
          </w:p>
        </w:tc>
        <w:tc>
          <w:tcPr>
            <w:tcW w:w="32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kern w:val="0"/>
                <w:sz w:val="20"/>
              </w:rPr>
            </w:pPr>
            <w:r>
              <w:rPr>
                <w:rFonts w:ascii="Times New Roman" w:hAnsi="Times New Roman" w:eastAsia="仿宋"/>
                <w:kern w:val="0"/>
                <w:sz w:val="20"/>
              </w:rPr>
              <w:t>新型疫苗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项目名称</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lang w:val="en-US" w:eastAsia="zh-CN"/>
              </w:rPr>
              <w:t>新型载体蛋白的筛选和新型载体疫苗关键技术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kern w:val="0"/>
                <w:sz w:val="20"/>
              </w:rPr>
            </w:pPr>
            <w:r>
              <w:rPr>
                <w:rFonts w:ascii="Times New Roman" w:hAnsi="Times New Roman"/>
                <w:b/>
                <w:bCs/>
                <w:kern w:val="0"/>
                <w:sz w:val="20"/>
              </w:rPr>
              <w:t>发榜单位名称</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云南疫苗实验室有限公司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05"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发榜单位联系人</w:t>
            </w:r>
          </w:p>
        </w:tc>
        <w:tc>
          <w:tcPr>
            <w:tcW w:w="6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姓名</w:t>
            </w:r>
          </w:p>
        </w:tc>
        <w:tc>
          <w:tcPr>
            <w:tcW w:w="22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何建东</w:t>
            </w:r>
          </w:p>
        </w:tc>
        <w:tc>
          <w:tcPr>
            <w:tcW w:w="6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职务</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项目管理办公室负责人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205"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p>
        </w:tc>
        <w:tc>
          <w:tcPr>
            <w:tcW w:w="6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手机</w:t>
            </w:r>
          </w:p>
        </w:tc>
        <w:tc>
          <w:tcPr>
            <w:tcW w:w="22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13529372964</w:t>
            </w:r>
          </w:p>
        </w:tc>
        <w:tc>
          <w:tcPr>
            <w:tcW w:w="6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b/>
                <w:bCs/>
                <w:kern w:val="0"/>
                <w:sz w:val="20"/>
              </w:rPr>
            </w:pPr>
            <w:r>
              <w:rPr>
                <w:rFonts w:ascii="Times New Roman" w:hAnsi="Times New Roman"/>
                <w:b/>
                <w:bCs/>
                <w:kern w:val="0"/>
                <w:sz w:val="20"/>
              </w:rPr>
              <w:t>邮箱</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szCs w:val="20"/>
                <w:lang w:val="en-US" w:eastAsia="zh-CN"/>
              </w:rPr>
            </w:pPr>
            <w:r>
              <w:rPr>
                <w:rFonts w:hint="default" w:ascii="Times New Roman" w:hAnsi="Times New Roman" w:eastAsia="方正仿宋_GBK" w:cs="Times New Roman"/>
                <w:kern w:val="0"/>
                <w:sz w:val="20"/>
                <w:szCs w:val="20"/>
                <w:lang w:val="en-US" w:eastAsia="zh-CN"/>
              </w:rPr>
              <w:t>hejiandong@walvax.com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项目需求的</w:t>
            </w:r>
          </w:p>
          <w:p>
            <w:pPr>
              <w:snapToGrid w:val="0"/>
              <w:spacing w:line="240" w:lineRule="auto"/>
              <w:jc w:val="center"/>
              <w:rPr>
                <w:rFonts w:ascii="Times New Roman" w:hAnsi="Times New Roman"/>
                <w:b/>
                <w:bCs/>
                <w:kern w:val="0"/>
                <w:sz w:val="20"/>
              </w:rPr>
            </w:pPr>
            <w:r>
              <w:rPr>
                <w:rFonts w:ascii="Times New Roman" w:hAnsi="Times New Roman"/>
                <w:b/>
                <w:bCs/>
                <w:kern w:val="0"/>
                <w:sz w:val="20"/>
              </w:rPr>
              <w:t>背景与意义</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1、现有结合疫苗的成就与局限</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结合疫苗的问世显著降低了侵袭性细菌感染的发病率，特别是在儿童群体中。然而，尽管预防肺炎链球菌的疫苗已被广泛使用，这种由细菌引起的肺炎每年发病率仍居高不下，当前的疫苗保护效力仍存在缺口。主要的临床挑战在于血清型漂移和广谱保护不足、表位抑制、批次一致性差。现有疫苗，如辉瑞的Prevnar 13，只涵盖13种细菌株。随着大规模接种，未包含在疫苗中的新型菌株开始流行，导致非疫苗血清型的替代性疾病负担增加 。为了应对这一挑战，药企正在研发更高价次的疫苗（如Prevnar 20），但这种通过简单增加多糖价次来解决问题的策略，并未解决结合技术本身的局限性。</w:t>
            </w:r>
          </w:p>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2、现有技术存在的挑战</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结合疫苗依赖于复杂的化学偶联反应，通过活性基团在多糖和载体蛋白之间形成共价键。这种工艺在免疫学和工业化生产上带来了固有的、难以规避的挑战，如：传统化学偶联往往是随机的或半随机的，导致产物在化学性质上具有高度的异质性。这种异质性具体表现为批次间多糖与蛋白质的摩尔比难以精确控制，从而严重影响了大规模生产的稳定性和疫</w:t>
            </w:r>
            <w:bookmarkStart w:id="2" w:name="_GoBack"/>
            <w:bookmarkEnd w:id="2"/>
            <w:r>
              <w:rPr>
                <w:rFonts w:hint="default" w:ascii="Times New Roman" w:hAnsi="Times New Roman" w:eastAsia="方正仿宋_GBK" w:cs="Times New Roman"/>
                <w:kern w:val="0"/>
                <w:sz w:val="20"/>
                <w:szCs w:val="20"/>
              </w:rPr>
              <w:t>苗效价的重复性。随机偶联的连接点可能出现在多糖抗原上，导致关键的B细胞识别表位被载体蛋白或偶联化学修饰所掩盖或破坏，从而引发多糖表位抑制，阻碍了免疫系统识别其最优形态。</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项目拟开发一种新型结合疫苗平台技术，其核心技术在于利用生物分子间的高度特异性识别机制，即高亲和力结合，取代现有结合疫苗生产中广泛采用的传统化学偶联方法。致力于根本性地解决传统工艺在载体蛋白引起的表位抑制效应、偶联效率低、批次一致性、多糖表位保护以及诱导广谱免疫应答方面的固有缺陷，能够最大限度地保护多糖抗原的天然构象，确保向免疫系统呈递最完整的表位。这种对结构完整性的保护，是激发更有效、更高亲和力抗体的先决条件。   </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项目准确捕捉了全球肺炎球菌结合疫苗（PCV）研发进入“深水区”后的核心痛点。随着PCV向30+价次演进，将面临工艺复杂度的指数级上升、免疫原性的边际效应递减以及载体蛋白可能引起的免疫抑制效应等问题。项目提出的“双重保护机制”（功能性载体）与“生物亲和组装”（非共价结合）两大策略，在理论上构成了对现有PCV技术的降维打击，直接对标国际前沿的MAPS（多抗原呈递系统）技术路线。这是一次试图从“第二代化学结合疫苗”跨越至“第三代生物组装疫苗”的颠覆性创新。</w:t>
            </w:r>
          </w:p>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3、科学性与先进性</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3.1 “双重打击”免疫策略的高度自洽性</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CRM197载体仅提供T细胞辅助，属“免疫学惰性”。本项目拟筛选PspA、Ply等肺炎球菌保守蛋白作为载体，其自身即为广谱保护性抗原。该策略能诱导抗多糖抗体（针对菌血症）与抗蛋白抗体（针对定植）的协同效应。特别是蛋白抗原诱导的Th17细胞介导的粘膜免疫，是解决“血清型置换”与清除鼻咽部携带的关键，逻辑严密。</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3.2克服化学偶联缺陷的结构生物学优势</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利用高亲和力（如生物素-亲和素类）的定点组装，解决了传统化学偶联中“随机修饰破坏抗原表位”的顽疾。确保多糖与蛋白以类似“病毒样颗粒”的有序结构排列，最大化暴露B细胞表位，避免空间位阻，理论上可显著提升低免疫原性血清型的应答率。</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该技术平台具有高度的通用性与可扩展性。基于该技术的启发，在现有AI技术对研发的加持下，该项目拟获得新型载体蛋白和结合方式，以便于开发新一代多糖结合疫苗。一旦该项目成功验证，其设计理念可快速迁移至多种细菌多糖疫苗的研发中，极大地缩短新疫苗开发周期，降低生产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技术难题</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1、载体蛋白选择与设计</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筛选肺炎链球菌保守蛋白是一个重要的科学问题。传统载体仅提供T细胞辅助，（如 CRM197或TT）打多了会抑制免疫反应（载体诱导的表位抑制），这是做高价疫苗最大的天花板。 这个项目把载体换成肺炎链球菌自有的高度保守、在多种血清型中均高表达的蛋白质作为载体，其自身即可为保护性抗原。例如，现有研究证明肺炎链球菌内肽酶O (PepO)与表面黏附素A (PsaA)联合蛋白疫苗经黏膜途径免疫小鼠后，能有效抵抗肺炎链球菌在鼻咽部和肺部的定植，提供比单用更好的保护作用。因此，通过将多价多糖抗原与保守蛋白进行亲和结合，可以实现双重机制保护的目标。</w:t>
            </w:r>
          </w:p>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2、高亲和力的新型结合方式</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采用基于高度生物分子识别原理的结合系统，实现多糖抗原和载体蛋白的高效、均一自组装。该技术选定聚焦于生物素-链亲和素/根亲和素（Biotin-Rhizavidin）系统。通过分子间极强的作用力快速、稳定地结合，从而形成精确控制的偶联物。这种自组装的性质使其偶联产物具有显著优于传统共价偶联的结构均一性，这种紧密结合的结构，如同Affiniivax的MAPS平台所展示的 ，能更有效地将多价多糖抗原和保守蛋白质抗原同时呈递给免疫系统。这种双重抗原呈递的机制不仅能诱导针对多糖的保护性抗体（B细胞响应），还能利用蛋白质抗原激活广谱T辅助细胞，实现广谱保护。 </w:t>
            </w:r>
          </w:p>
          <w:p>
            <w:pPr>
              <w:pStyle w:val="2"/>
              <w:spacing w:line="240" w:lineRule="auto"/>
              <w:ind w:firstLine="402"/>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bCs/>
                <w:kern w:val="0"/>
                <w:sz w:val="20"/>
                <w:szCs w:val="20"/>
              </w:rPr>
              <w:t>3、如何实现高收率、高均一性的多糖生物素化以及确保载体蛋白在表达和纯化后能够保持其亲和活性和免疫原性。</w:t>
            </w:r>
            <w:r>
              <w:rPr>
                <w:rFonts w:hint="default" w:ascii="Times New Roman" w:hAnsi="Times New Roman" w:eastAsia="方正仿宋_GBK" w:cs="Times New Roman"/>
                <w:kern w:val="0"/>
                <w:sz w:val="20"/>
                <w:szCs w:val="20"/>
              </w:rPr>
              <w:t>防控多价多糖间非特异性黏合导致的免疫原性风险。多种多糖共混易引发物理聚集，导致表位遮蔽及颗粒均一性，影响疫苗保护效力与质量可控性。</w:t>
            </w:r>
          </w:p>
          <w:p>
            <w:pPr>
              <w:adjustRightInd w:val="0"/>
              <w:snapToGrid w:val="0"/>
              <w:spacing w:line="240" w:lineRule="auto"/>
              <w:ind w:firstLine="401" w:firstLineChars="200"/>
              <w:rPr>
                <w:rFonts w:hint="default" w:ascii="Times New Roman" w:hAnsi="Times New Roman" w:eastAsia="方正仿宋_GBK" w:cs="Times New Roman"/>
                <w:b/>
                <w:bCs/>
                <w:kern w:val="0"/>
                <w:sz w:val="20"/>
                <w:szCs w:val="20"/>
              </w:rPr>
            </w:pPr>
            <w:r>
              <w:rPr>
                <w:rFonts w:hint="default" w:ascii="Times New Roman" w:hAnsi="Times New Roman" w:eastAsia="方正仿宋_GBK" w:cs="Times New Roman"/>
                <w:b/>
                <w:bCs/>
                <w:kern w:val="0"/>
                <w:sz w:val="20"/>
                <w:szCs w:val="20"/>
              </w:rPr>
              <w:t>4、免疫应答平衡</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如何平衡多糖和保守蛋白的免疫应答，实现多糖诱导的T细胞依赖性和蛋白诱导的交叉保护的最佳效果。作为交叉保护抗原，所选蛋白应该在病原体的致病机制中发挥关键作用，这样才能确保免疫压力下的保守性。建议深入分析候选蛋白的功能，特别是其在黏附、侵袭、免疫逃逸等关键病理过程中的作用。</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bCs/>
                <w:kern w:val="0"/>
                <w:sz w:val="20"/>
                <w:szCs w:val="20"/>
              </w:rPr>
              <w:t>5、项目应考虑不同人群 HLA 分布的差异，</w:t>
            </w:r>
            <w:r>
              <w:rPr>
                <w:rFonts w:hint="default" w:ascii="Times New Roman" w:hAnsi="Times New Roman" w:eastAsia="方正仿宋_GBK" w:cs="Times New Roman"/>
                <w:kern w:val="0"/>
                <w:sz w:val="20"/>
                <w:szCs w:val="20"/>
              </w:rPr>
              <w:t>通过生物信息学预测和试验验证相结合的方式，确保所选蛋白具有广谱的免疫原性。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研究内容</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1、载体蛋白的筛选：</w:t>
            </w:r>
            <w:r>
              <w:rPr>
                <w:rFonts w:hint="default" w:ascii="Times New Roman" w:hAnsi="Times New Roman" w:eastAsia="方正仿宋_GBK" w:cs="Times New Roman"/>
                <w:kern w:val="0"/>
                <w:sz w:val="20"/>
                <w:szCs w:val="20"/>
              </w:rPr>
              <w:t>发现并制备具备交叉保护作用的蛋白。</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2、载体蛋白的制备与鉴定：</w:t>
            </w:r>
            <w:r>
              <w:rPr>
                <w:rFonts w:hint="default" w:ascii="Times New Roman" w:hAnsi="Times New Roman" w:eastAsia="方正仿宋_GBK" w:cs="Times New Roman"/>
                <w:kern w:val="0"/>
                <w:sz w:val="20"/>
                <w:szCs w:val="20"/>
              </w:rPr>
              <w:t>蛋白在高效表达系统中进行表达。通过多步层析技术提高蛋白的纯度，通过活性鉴定，证明载体蛋白不仅能偶联结合还能保留其作为保护性抗原的免疫原性，对肺炎球菌有交叉保护作用。</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3、寻找新型载体-配体系统并建立制备工艺：</w:t>
            </w:r>
            <w:r>
              <w:rPr>
                <w:rFonts w:hint="default" w:ascii="Times New Roman" w:hAnsi="Times New Roman" w:eastAsia="方正仿宋_GBK" w:cs="Times New Roman"/>
                <w:kern w:val="0"/>
                <w:sz w:val="20"/>
                <w:szCs w:val="20"/>
              </w:rPr>
              <w:t>该系统可以实现体外组合。配体可以通过一定的方式连接到多糖上。探索最佳工艺参数，多糖与载体的摩尔比，反应时间、温度和缓冲液体系。</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4、结构均一性：</w:t>
            </w:r>
            <w:r>
              <w:rPr>
                <w:rFonts w:hint="default" w:ascii="Times New Roman" w:hAnsi="Times New Roman" w:eastAsia="方正仿宋_GBK" w:cs="Times New Roman"/>
                <w:kern w:val="0"/>
                <w:sz w:val="20"/>
                <w:szCs w:val="20"/>
              </w:rPr>
              <w:t>确保多糖与蛋白的有序结构排列，最大化暴露B细胞表位，避免空间位阻，保证每一批疫苗的结构均一。</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5、初步稳定性研究：</w:t>
            </w:r>
            <w:r>
              <w:rPr>
                <w:rFonts w:hint="default" w:ascii="Times New Roman" w:hAnsi="Times New Roman" w:eastAsia="方正仿宋_GBK" w:cs="Times New Roman"/>
                <w:kern w:val="0"/>
                <w:sz w:val="20"/>
                <w:szCs w:val="20"/>
              </w:rPr>
              <w:t>考察不同条件的物理表征和功能性试验；考察偶联产物的初步稳定性。</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6、质量评价：</w:t>
            </w:r>
            <w:r>
              <w:rPr>
                <w:rFonts w:hint="default" w:ascii="Times New Roman" w:hAnsi="Times New Roman" w:eastAsia="方正仿宋_GBK" w:cs="Times New Roman"/>
                <w:kern w:val="0"/>
                <w:sz w:val="20"/>
                <w:szCs w:val="20"/>
              </w:rPr>
              <w:t>包括不限于测定每批次产品中多糖和载体蛋白的摩尔比例，考察不同关键参数对有效性的影响。测量偶联产物的粒径和粒径分布。平衡多糖与保守蛋白的免疫应答，确保 “体液免疫 + 细胞免疫” 的协同增效，避免单一抗原免疫优势抑制另一抗原的免疫效果。</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7、免疫原性评价：</w:t>
            </w:r>
            <w:r>
              <w:rPr>
                <w:rFonts w:hint="default" w:ascii="Times New Roman" w:hAnsi="Times New Roman" w:eastAsia="方正仿宋_GBK" w:cs="Times New Roman"/>
                <w:kern w:val="0"/>
                <w:sz w:val="20"/>
                <w:szCs w:val="20"/>
              </w:rPr>
              <w:t>在动物模型中评估免疫原性。不仅对比与传统偶联技术的有效性对比评价，还应评价功能性抗体（OPA）滴度对高价次血清型的覆盖能力，以验证“双重保护”机制是否由于现有的PCV20；通过细胞因子检测评估载体蛋白诱导的T细胞应答的强度和类型，验证“双重保护”机制的有效性。</w:t>
            </w:r>
          </w:p>
          <w:p>
            <w:pPr>
              <w:adjustRightInd w:val="0"/>
              <w:snapToGrid w:val="0"/>
              <w:spacing w:line="240" w:lineRule="auto"/>
              <w:ind w:firstLine="401"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kern w:val="0"/>
                <w:sz w:val="20"/>
                <w:szCs w:val="20"/>
              </w:rPr>
              <w:t>8、知识产权方面：</w:t>
            </w:r>
            <w:r>
              <w:rPr>
                <w:rFonts w:hint="default" w:ascii="Times New Roman" w:hAnsi="Times New Roman" w:eastAsia="方正仿宋_GBK" w:cs="Times New Roman"/>
                <w:kern w:val="0"/>
                <w:sz w:val="20"/>
                <w:szCs w:val="20"/>
              </w:rPr>
              <w:t>进行全面分析（FTO分析），规避现有专利，保证未来产品不踏入别人的专利中。保障有独立的、有自主知识产权的结合系统。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预期技术</w:t>
            </w:r>
          </w:p>
          <w:p>
            <w:pPr>
              <w:snapToGrid w:val="0"/>
              <w:spacing w:line="240" w:lineRule="auto"/>
              <w:jc w:val="center"/>
              <w:rPr>
                <w:rFonts w:ascii="Times New Roman" w:hAnsi="Times New Roman"/>
                <w:b/>
                <w:bCs/>
                <w:kern w:val="0"/>
                <w:sz w:val="20"/>
              </w:rPr>
            </w:pPr>
            <w:r>
              <w:rPr>
                <w:rFonts w:ascii="Times New Roman" w:hAnsi="Times New Roman"/>
                <w:b/>
                <w:bCs/>
                <w:kern w:val="0"/>
                <w:sz w:val="20"/>
              </w:rPr>
              <w:t>目标</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01" w:firstLineChars="200"/>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1、项目目标：</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设立“稳定性极限测试”作为里程碑（Go/No-Go Decision）</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项目初期，应在含有高浓度竞争分子的模拟血清中测定解离速率，并开展体内药代动力学（PK）共定位研究，证明复合物以完整形态被APC摄取。</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免疫学评价：不仅看OPA（杀菌）滴度，还应建立鼻咽部定植模型和Th17细胞检测，以验证“双重保护”机制是否优于现有的PCV20。</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工艺与IP的双重规避：工艺中引入微流控技术解决高浓度下多糖-蛋白组装的均一性问题。IP应开展FTO分析，探索新型结合对（如SNARE蛋白、SpyTag系统等）以规避现有专利。</w:t>
            </w:r>
          </w:p>
          <w:p>
            <w:pPr>
              <w:adjustRightInd w:val="0"/>
              <w:snapToGrid w:val="0"/>
              <w:spacing w:line="240" w:lineRule="auto"/>
              <w:ind w:firstLine="401" w:firstLineChars="200"/>
              <w:rPr>
                <w:rFonts w:hint="default" w:ascii="Times New Roman" w:hAnsi="Times New Roman" w:eastAsia="方正仿宋_GBK" w:cs="Times New Roman"/>
                <w:b/>
                <w:kern w:val="0"/>
                <w:sz w:val="20"/>
                <w:szCs w:val="20"/>
              </w:rPr>
            </w:pPr>
            <w:r>
              <w:rPr>
                <w:rFonts w:hint="default" w:ascii="Times New Roman" w:hAnsi="Times New Roman" w:eastAsia="方正仿宋_GBK" w:cs="Times New Roman"/>
                <w:b/>
                <w:kern w:val="0"/>
                <w:sz w:val="20"/>
                <w:szCs w:val="20"/>
              </w:rPr>
              <w:t>2、考核指标：</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获得肺炎球菌的保守蛋白抗原多个。</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稳定的高收率、高均一性的新型结合技术，比现有结合效率提高5倍以上，结合系数非劣于MAPS系统。肺炎疫苗应不少于30价次，MAPA组装效率 &gt; 90%；颗粒粒径分布均一。</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亲和偶联产物在物理化学属性上的批次变异率较低（目标低于10%）。</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实现对至少24种血清型，甚至超过30种血清型的有效覆盖 ，从而显著解决血清型漂移带来的疾病负担，实现“体液免疫+细胞免疫” 的协同增效。</w:t>
            </w:r>
          </w:p>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成功诱导体液免疫（抗多糖抗体）的同时，通过新型保守载体蛋白诱导强大的细胞免疫和粘膜免疫，从而降低病原体在鼻咽部的定植 ，提供超越血清型计数的广谱交叉保护。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预期经济</w:t>
            </w:r>
          </w:p>
          <w:p>
            <w:pPr>
              <w:snapToGrid w:val="0"/>
              <w:spacing w:line="240" w:lineRule="auto"/>
              <w:jc w:val="center"/>
              <w:rPr>
                <w:rFonts w:ascii="Times New Roman" w:hAnsi="Times New Roman"/>
                <w:b/>
                <w:bCs/>
                <w:kern w:val="0"/>
                <w:sz w:val="20"/>
              </w:rPr>
            </w:pPr>
            <w:r>
              <w:rPr>
                <w:rFonts w:ascii="Times New Roman" w:hAnsi="Times New Roman"/>
                <w:b/>
                <w:bCs/>
                <w:kern w:val="0"/>
                <w:sz w:val="20"/>
              </w:rPr>
              <w:t>社会生态</w:t>
            </w:r>
          </w:p>
          <w:p>
            <w:pPr>
              <w:snapToGrid w:val="0"/>
              <w:spacing w:line="240" w:lineRule="auto"/>
              <w:jc w:val="center"/>
              <w:rPr>
                <w:rFonts w:ascii="Times New Roman" w:hAnsi="Times New Roman"/>
                <w:b/>
                <w:bCs/>
                <w:kern w:val="0"/>
                <w:sz w:val="20"/>
              </w:rPr>
            </w:pPr>
            <w:r>
              <w:rPr>
                <w:rFonts w:ascii="Times New Roman" w:hAnsi="Times New Roman"/>
                <w:b/>
                <w:bCs/>
                <w:kern w:val="0"/>
                <w:sz w:val="20"/>
              </w:rPr>
              <w:t>效益</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00" w:firstLineChars="200"/>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项目立足于当前疫苗领域的前沿，针对传统结合疫苗存在的关键技术瓶颈提出了创新性的解决方案，具有重要的科学价值和广阔的应用前景。本项目瞄准的是结合疫苗领域的核心技术难题——传统化学偶联工艺的固有局限性。原项目团队深刻洞察到现有技术的不足，并提出了利用生物分子高亲和力识别机制替代传统化学偶联的创新思路。这种技术路线的选择体现了对疫苗免疫学原理的深刻理解和对产业化需求的准确把握。</w:t>
            </w:r>
          </w:p>
          <w:p>
            <w:pPr>
              <w:pStyle w:val="7"/>
              <w:adjustRightInd w:val="0"/>
              <w:snapToGrid w:val="0"/>
              <w:spacing w:line="240" w:lineRule="auto"/>
              <w:ind w:firstLine="400"/>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1、新型亲和结合蛋白疫苗的开发代表了结合疫苗技术的重大飞跃。通过摆脱传统化学偶联的限制，利用高亲和力的生物分子识别机制，解决了批次均一性和表位抑制的核心问题。整合保守性保护抗原进一步确保了产品能够提供广谱、超越血清型计数的“双重保护”。</w:t>
            </w:r>
          </w:p>
          <w:p>
            <w:pPr>
              <w:pStyle w:val="7"/>
              <w:adjustRightInd w:val="0"/>
              <w:snapToGrid w:val="0"/>
              <w:spacing w:line="240" w:lineRule="auto"/>
              <w:ind w:firstLine="400"/>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2、本项目具有明确的市场前景和可观的商业价值。全球肺炎疫苗市场是一个规模巨大且持续增长的市场，其中辉瑞的肺炎结合疫苗（Prevnar 13）连续超过10年维持疫苗销售第一的位置，销售额一直在60亿美元左右。MAPS技术作为新型技术，拥有该技术的Affinivax公司被GSK以33亿美元收购。</w:t>
            </w:r>
          </w:p>
          <w:p>
            <w:pPr>
              <w:pStyle w:val="7"/>
              <w:adjustRightInd w:val="0"/>
              <w:snapToGrid w:val="0"/>
              <w:spacing w:line="240" w:lineRule="auto"/>
              <w:ind w:firstLine="400"/>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3、该项目产生的技术能显著降低多价疫苗的后续研发成本与时间，例如新增一个血清型保护的开发周期可望从传统的5-8年缩短至2-3年，使产品线能快速、经济地迭代升级。</w:t>
            </w:r>
          </w:p>
          <w:p>
            <w:pPr>
              <w:pStyle w:val="7"/>
              <w:adjustRightInd w:val="0"/>
              <w:snapToGrid w:val="0"/>
              <w:spacing w:line="240" w:lineRule="auto"/>
              <w:ind w:firstLine="400"/>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4、该项目产生的技术作为一个通用的新型疫苗偶联平台，未来可扩展至其他病原体（如脑膜炎球菌、流感嗜血杆菌）的结合疫苗开发，实现技术成果的横向转化。初步预测，成功上市后，该产品在主要市场有望达到十亿美元的销售，并为后续产品管线奠定基础，投资回报潜力巨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时限要求</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tabs>
                <w:tab w:val="left" w:pos="2284"/>
              </w:tabs>
              <w:snapToGrid w:val="0"/>
              <w:spacing w:line="240" w:lineRule="auto"/>
              <w:rPr>
                <w:rFonts w:hint="eastAsia" w:ascii="Times New Roman" w:hAnsi="Times New Roman" w:eastAsia="方正仿宋_GBK" w:cs="Times New Roman"/>
                <w:sz w:val="20"/>
                <w:lang w:eastAsia="zh-CN"/>
              </w:rPr>
            </w:pPr>
            <w:r>
              <w:rPr>
                <w:rFonts w:hint="default" w:ascii="Times New Roman" w:hAnsi="Times New Roman" w:eastAsia="方正仿宋_GBK" w:cs="Times New Roman"/>
                <w:sz w:val="20"/>
                <w:szCs w:val="32"/>
              </w:rPr>
              <w:t>2年</w:t>
            </w:r>
            <w:r>
              <w:rPr>
                <w:rFonts w:hint="eastAsia" w:ascii="Times New Roman" w:hAnsi="Times New Roman" w:eastAsia="方正仿宋_GBK" w:cs="Times New Roman"/>
                <w:sz w:val="20"/>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b/>
                <w:bCs/>
                <w:kern w:val="0"/>
                <w:sz w:val="20"/>
              </w:rPr>
            </w:pPr>
            <w:r>
              <w:rPr>
                <w:rFonts w:ascii="Times New Roman" w:hAnsi="Times New Roman"/>
                <w:b/>
                <w:bCs/>
                <w:kern w:val="0"/>
                <w:sz w:val="20"/>
              </w:rPr>
              <w:t>产权归属</w:t>
            </w:r>
          </w:p>
        </w:tc>
        <w:tc>
          <w:tcPr>
            <w:tcW w:w="816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hint="default" w:ascii="Times New Roman" w:hAnsi="Times New Roman" w:eastAsia="方正仿宋_GBK" w:cs="Times New Roman"/>
                <w:sz w:val="20"/>
              </w:rPr>
            </w:pPr>
            <w:r>
              <w:rPr>
                <w:rFonts w:hint="default" w:ascii="Times New Roman" w:hAnsi="Times New Roman" w:eastAsia="方正仿宋_GBK" w:cs="Times New Roman"/>
                <w:sz w:val="20"/>
                <w:szCs w:val="32"/>
              </w:rPr>
              <w:t>云南疫苗实验室有限公司，具体可以商议。</w:t>
            </w:r>
          </w:p>
        </w:tc>
      </w:tr>
    </w:tbl>
    <w:p>
      <w:pPr>
        <w:spacing w:line="24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F1992"/>
    <w:rsid w:val="001140C5"/>
    <w:rsid w:val="003E7C28"/>
    <w:rsid w:val="00453000"/>
    <w:rsid w:val="00453FB6"/>
    <w:rsid w:val="004B0BA9"/>
    <w:rsid w:val="00504590"/>
    <w:rsid w:val="00516BF1"/>
    <w:rsid w:val="00571639"/>
    <w:rsid w:val="00600D6E"/>
    <w:rsid w:val="006C605A"/>
    <w:rsid w:val="006F10D8"/>
    <w:rsid w:val="008A2BF8"/>
    <w:rsid w:val="009B16A1"/>
    <w:rsid w:val="00A57FBC"/>
    <w:rsid w:val="00B92D75"/>
    <w:rsid w:val="00C16056"/>
    <w:rsid w:val="00EC0D1A"/>
    <w:rsid w:val="18DF1992"/>
    <w:rsid w:val="3EFEF176"/>
    <w:rsid w:val="547941C9"/>
    <w:rsid w:val="5FE7E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600" w:lineRule="atLeast"/>
      <w:ind w:firstLine="420" w:firstLineChars="200"/>
    </w:pPr>
    <w:rPr>
      <w:sz w:val="24"/>
      <w:szCs w:val="2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rPr>
      <w:rFonts w:ascii="Times New Roman" w:hAnsi="Times New Roman" w:eastAsia="仿宋_GB2312"/>
      <w:sz w:val="32"/>
      <w:szCs w:val="20"/>
    </w:rPr>
  </w:style>
  <w:style w:type="character" w:customStyle="1" w:styleId="8">
    <w:name w:val="页眉 Char"/>
    <w:basedOn w:val="6"/>
    <w:link w:val="4"/>
    <w:qFormat/>
    <w:uiPriority w:val="0"/>
    <w:rPr>
      <w:rFonts w:ascii="Calibri" w:hAnsi="Calibri" w:eastAsia="宋体" w:cs="Times New Roman"/>
      <w:kern w:val="2"/>
      <w:sz w:val="18"/>
      <w:szCs w:val="18"/>
    </w:rPr>
  </w:style>
  <w:style w:type="character" w:customStyle="1" w:styleId="9">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4120</Words>
  <Characters>4328</Characters>
  <Lines>31</Lines>
  <Paragraphs>8</Paragraphs>
  <TotalTime>5</TotalTime>
  <ScaleCrop>false</ScaleCrop>
  <LinksUpToDate>false</LinksUpToDate>
  <CharactersWithSpaces>4355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2026-04-29T19:02:00Z</dcterms:created>
  <dc:creator>Valiant_cay</dc:creator>
  <cp:lastModifiedBy>李长生</cp:lastModifiedBy>
  <dcterms:modified xsi:type="dcterms:W3CDTF">2026-05-17T12:55:05Z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86030A7AA256436180219D8B2CD83EF2_11</vt:lpwstr>
  </property>
  <property fmtid="{D5CDD505-2E9C-101B-9397-08002B2CF9AE}" pid="4" name="KSOTemplateDocerSaveRecord">
    <vt:lpwstr>eyJoZGlkIjoiMzEwNTM5NzYwMDRjMzkwZTVkZjY2ODkwMGIxNGU0OTUiLCJ1c2VySWQiOiI0MjIwMTM4NTcifQ==</vt:lpwstr>
  </property>
</Properties>
</file>