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i w:val="0"/>
          <w:iCs w:val="0"/>
          <w:color w:val="000000"/>
          <w:kern w:val="0"/>
          <w:sz w:val="44"/>
          <w:szCs w:val="44"/>
          <w:u w:val="none"/>
          <w:lang w:val="en-US" w:eastAsia="zh-CN" w:bidi="ar"/>
        </w:rPr>
      </w:pPr>
      <w:bookmarkStart w:id="0" w:name="_Toc27440"/>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i w:val="0"/>
          <w:iCs w:val="0"/>
          <w:color w:val="000000"/>
          <w:kern w:val="0"/>
          <w:sz w:val="44"/>
          <w:szCs w:val="44"/>
          <w:u w:val="none"/>
          <w:lang w:val="en-US" w:eastAsia="zh-CN" w:bidi="ar"/>
        </w:rPr>
        <w:t>对苯二甲酸加氢精制钯炭催化剂关键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iCs w:val="0"/>
          <w:color w:val="000000"/>
          <w:kern w:val="0"/>
          <w:sz w:val="44"/>
          <w:szCs w:val="44"/>
          <w:u w:val="none"/>
          <w:lang w:val="en-US" w:eastAsia="zh-CN" w:bidi="ar"/>
        </w:rPr>
        <w:t>技术</w:t>
      </w:r>
      <w:r>
        <w:rPr>
          <w:rFonts w:hint="eastAsia" w:ascii="方正小标宋_GBK" w:hAnsi="方正小标宋_GBK" w:eastAsia="方正小标宋_GBK" w:cs="方正小标宋_GBK"/>
          <w:sz w:val="44"/>
          <w:szCs w:val="44"/>
        </w:rPr>
        <w:t>”</w:t>
      </w:r>
      <w:bookmarkEnd w:id="0"/>
      <w:bookmarkStart w:id="1" w:name="_Toc11893"/>
      <w:r>
        <w:rPr>
          <w:rFonts w:hint="eastAsia" w:ascii="方正小标宋_GBK" w:hAnsi="方正小标宋_GBK" w:eastAsia="方正小标宋_GBK" w:cs="方正小标宋_GBK"/>
          <w:sz w:val="44"/>
          <w:szCs w:val="44"/>
        </w:rPr>
        <w:t>揭榜制项目需求表</w:t>
      </w:r>
      <w:bookmarkEnd w:id="1"/>
    </w:p>
    <w:tbl>
      <w:tblPr>
        <w:tblStyle w:val="6"/>
        <w:tblW w:w="855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68"/>
        <w:gridCol w:w="691"/>
        <w:gridCol w:w="2274"/>
        <w:gridCol w:w="691"/>
        <w:gridCol w:w="332"/>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所属产业领域或</w:t>
            </w:r>
          </w:p>
          <w:p>
            <w:pPr>
              <w:snapToGrid w:val="0"/>
              <w:jc w:val="center"/>
              <w:rPr>
                <w:rFonts w:ascii="Times New Roman" w:hAnsi="Times New Roman"/>
                <w:color w:val="auto"/>
                <w:kern w:val="0"/>
                <w:sz w:val="20"/>
              </w:rPr>
            </w:pPr>
            <w:r>
              <w:rPr>
                <w:rFonts w:ascii="Times New Roman" w:hAnsi="Times New Roman"/>
                <w:b/>
                <w:bCs/>
                <w:color w:val="auto"/>
                <w:kern w:val="0"/>
                <w:sz w:val="20"/>
              </w:rPr>
              <w:t>产业链</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color w:val="auto"/>
                <w:kern w:val="0"/>
                <w:sz w:val="20"/>
              </w:rPr>
            </w:pPr>
            <w:r>
              <w:rPr>
                <w:rFonts w:ascii="Times New Roman" w:hAnsi="Times New Roman" w:eastAsia="方正仿宋_GBK"/>
                <w:color w:val="auto"/>
                <w:kern w:val="0"/>
                <w:sz w:val="20"/>
              </w:rPr>
              <w:t>贵金属新材料</w:t>
            </w:r>
          </w:p>
        </w:tc>
        <w:tc>
          <w:tcPr>
            <w:tcW w:w="102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细分</w:t>
            </w:r>
          </w:p>
          <w:p>
            <w:pPr>
              <w:snapToGrid w:val="0"/>
              <w:jc w:val="center"/>
              <w:rPr>
                <w:rFonts w:ascii="Times New Roman" w:hAnsi="Times New Roman"/>
                <w:color w:val="auto"/>
                <w:kern w:val="0"/>
                <w:sz w:val="20"/>
              </w:rPr>
            </w:pPr>
            <w:r>
              <w:rPr>
                <w:rFonts w:ascii="Times New Roman" w:hAnsi="Times New Roman"/>
                <w:b/>
                <w:bCs/>
                <w:color w:val="auto"/>
                <w:kern w:val="0"/>
                <w:sz w:val="20"/>
              </w:rPr>
              <w:t>方向</w:t>
            </w:r>
          </w:p>
        </w:tc>
        <w:tc>
          <w:tcPr>
            <w:tcW w:w="28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auto"/>
                <w:kern w:val="0"/>
                <w:sz w:val="20"/>
              </w:rPr>
            </w:pPr>
            <w:r>
              <w:rPr>
                <w:rFonts w:hint="eastAsia" w:ascii="Times New Roman" w:hAnsi="Times New Roman" w:eastAsia="仿宋"/>
                <w:color w:val="auto"/>
                <w:kern w:val="0"/>
                <w:sz w:val="20"/>
                <w:szCs w:val="20"/>
              </w:rPr>
              <w:t>贵金属化工催化剂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项目名称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ind w:firstLine="400" w:firstLineChars="200"/>
              <w:jc w:val="center"/>
              <w:rPr>
                <w:rFonts w:hint="eastAsia" w:ascii="Times New Roman" w:hAnsi="Times New Roman" w:eastAsia="仿宋"/>
                <w:color w:val="auto"/>
                <w:kern w:val="0"/>
                <w:sz w:val="20"/>
                <w:szCs w:val="20"/>
              </w:rPr>
            </w:pPr>
            <w:r>
              <w:rPr>
                <w:rFonts w:hint="eastAsia" w:ascii="Times New Roman" w:hAnsi="Times New Roman" w:eastAsia="仿宋"/>
                <w:color w:val="auto"/>
                <w:kern w:val="0"/>
                <w:sz w:val="20"/>
                <w:szCs w:val="20"/>
                <w:lang w:val="en-US" w:eastAsia="zh-CN"/>
              </w:rPr>
              <w:t>对苯二甲酸加氢精制钯炭催化剂关键技术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auto"/>
                <w:kern w:val="0"/>
                <w:sz w:val="20"/>
              </w:rPr>
            </w:pPr>
            <w:r>
              <w:rPr>
                <w:rFonts w:ascii="Times New Roman" w:hAnsi="Times New Roman"/>
                <w:b/>
                <w:bCs/>
                <w:color w:val="auto"/>
                <w:kern w:val="0"/>
                <w:sz w:val="20"/>
              </w:rPr>
              <w:t>发榜单位名称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ind w:firstLine="400" w:firstLineChars="200"/>
              <w:jc w:val="center"/>
              <w:rPr>
                <w:rFonts w:hint="eastAsia" w:ascii="Times New Roman" w:hAnsi="Times New Roman" w:eastAsia="仿宋"/>
                <w:color w:val="auto"/>
                <w:kern w:val="0"/>
                <w:sz w:val="20"/>
                <w:szCs w:val="20"/>
              </w:rPr>
            </w:pPr>
            <w:r>
              <w:rPr>
                <w:rFonts w:hint="eastAsia" w:ascii="Times New Roman" w:hAnsi="Times New Roman" w:eastAsia="仿宋"/>
                <w:color w:val="auto"/>
                <w:kern w:val="0"/>
                <w:sz w:val="20"/>
                <w:szCs w:val="20"/>
              </w:rPr>
              <w:t>云南贵金属实验室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5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发榜单位联系人</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jc w:val="center"/>
              <w:rPr>
                <w:rFonts w:hint="eastAsia" w:ascii="Times New Roman" w:hAnsi="Times New Roman" w:eastAsia="仿宋"/>
                <w:color w:val="auto"/>
                <w:kern w:val="0"/>
                <w:sz w:val="20"/>
                <w:szCs w:val="20"/>
              </w:rPr>
            </w:pPr>
            <w:r>
              <w:rPr>
                <w:rFonts w:hint="eastAsia" w:ascii="Times New Roman" w:hAnsi="Times New Roman" w:eastAsia="仿宋"/>
                <w:color w:val="auto"/>
                <w:kern w:val="0"/>
                <w:sz w:val="20"/>
                <w:szCs w:val="20"/>
              </w:rPr>
              <w:t>王松</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职务</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jc w:val="center"/>
              <w:rPr>
                <w:rFonts w:hint="eastAsia" w:ascii="Times New Roman" w:hAnsi="Times New Roman" w:eastAsia="仿宋"/>
                <w:color w:val="auto"/>
                <w:kern w:val="0"/>
                <w:sz w:val="20"/>
                <w:szCs w:val="20"/>
              </w:rPr>
            </w:pPr>
            <w:r>
              <w:rPr>
                <w:rFonts w:hint="eastAsia" w:ascii="Times New Roman" w:hAnsi="Times New Roman" w:eastAsia="仿宋"/>
                <w:color w:val="auto"/>
                <w:kern w:val="0"/>
                <w:sz w:val="20"/>
                <w:szCs w:val="20"/>
              </w:rPr>
              <w:t>科技主管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51"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手机</w:t>
            </w:r>
          </w:p>
        </w:tc>
        <w:tc>
          <w:tcPr>
            <w:tcW w:w="227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jc w:val="center"/>
              <w:rPr>
                <w:rFonts w:hint="eastAsia" w:ascii="Times New Roman" w:hAnsi="Times New Roman" w:eastAsia="仿宋"/>
                <w:color w:val="auto"/>
                <w:kern w:val="0"/>
                <w:sz w:val="20"/>
                <w:szCs w:val="20"/>
              </w:rPr>
            </w:pPr>
            <w:r>
              <w:rPr>
                <w:rFonts w:hint="eastAsia" w:ascii="Times New Roman" w:hAnsi="Times New Roman" w:eastAsia="仿宋"/>
                <w:color w:val="auto"/>
                <w:kern w:val="0"/>
                <w:sz w:val="20"/>
                <w:szCs w:val="20"/>
              </w:rPr>
              <w:t>13658872932</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邮箱</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jc w:val="center"/>
              <w:rPr>
                <w:rFonts w:hint="eastAsia" w:ascii="Times New Roman" w:hAnsi="Times New Roman" w:eastAsia="仿宋"/>
                <w:color w:val="auto"/>
                <w:kern w:val="0"/>
                <w:sz w:val="20"/>
                <w:szCs w:val="20"/>
              </w:rPr>
            </w:pPr>
            <w:r>
              <w:rPr>
                <w:rFonts w:hint="eastAsia" w:ascii="Times New Roman" w:hAnsi="Times New Roman" w:eastAsia="仿宋"/>
                <w:color w:val="auto"/>
                <w:kern w:val="0"/>
                <w:sz w:val="20"/>
                <w:szCs w:val="20"/>
              </w:rPr>
              <w:t>wspowder@ipm.com.cn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项目需求的</w:t>
            </w:r>
          </w:p>
          <w:p>
            <w:pPr>
              <w:snapToGrid w:val="0"/>
              <w:jc w:val="center"/>
              <w:rPr>
                <w:rFonts w:ascii="Times New Roman" w:hAnsi="Times New Roman"/>
                <w:b/>
                <w:bCs/>
                <w:color w:val="auto"/>
                <w:kern w:val="0"/>
                <w:sz w:val="20"/>
              </w:rPr>
            </w:pPr>
            <w:r>
              <w:rPr>
                <w:rFonts w:ascii="Times New Roman" w:hAnsi="Times New Roman"/>
                <w:b/>
                <w:bCs/>
                <w:color w:val="auto"/>
                <w:kern w:val="0"/>
                <w:sz w:val="20"/>
              </w:rPr>
              <w:t>背景与意义</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精对苯二甲酸（PTA）可用于生产聚酯纤维（俗称涤纶），其下游以涤纶为主要材料的纺织品约占我国化纤总产量的80%，支撑起整个纺织工业体系。PTA生产过程对催化剂性能要求极高，钯炭催化剂作为PTA生产过程中加氢精制环节的关键，其性能直接影响</w:t>
            </w:r>
            <w:r>
              <w:rPr>
                <w:rFonts w:hint="eastAsia" w:ascii="Times New Roman" w:hAnsi="Times New Roman" w:eastAsia="仿宋"/>
                <w:color w:val="auto"/>
                <w:kern w:val="0"/>
                <w:sz w:val="20"/>
                <w:szCs w:val="20"/>
              </w:rPr>
              <w:t>加氢效率、</w:t>
            </w:r>
            <w:r>
              <w:rPr>
                <w:rFonts w:ascii="Times New Roman" w:hAnsi="Times New Roman" w:eastAsia="仿宋"/>
                <w:color w:val="auto"/>
                <w:kern w:val="0"/>
                <w:sz w:val="20"/>
                <w:szCs w:val="20"/>
              </w:rPr>
              <w:t>产品纯度和装置能效。工业上一般要求将粗对苯二甲酸中</w:t>
            </w:r>
            <w:r>
              <w:rPr>
                <w:rFonts w:hint="eastAsia" w:ascii="Times New Roman" w:hAnsi="Times New Roman" w:eastAsia="仿宋"/>
                <w:color w:val="auto"/>
                <w:kern w:val="0"/>
                <w:sz w:val="20"/>
                <w:szCs w:val="20"/>
              </w:rPr>
              <w:t>25</w:t>
            </w:r>
            <w:r>
              <w:rPr>
                <w:rFonts w:ascii="Times New Roman" w:hAnsi="Times New Roman" w:eastAsia="仿宋"/>
                <w:color w:val="auto"/>
                <w:kern w:val="0"/>
                <w:sz w:val="20"/>
                <w:szCs w:val="20"/>
              </w:rPr>
              <w:t>00-3500 ppm的杂质对羧基苯甲醛（4-CBA）脱除至2</w:t>
            </w:r>
            <w:r>
              <w:rPr>
                <w:rFonts w:hint="eastAsia" w:ascii="Times New Roman" w:hAnsi="Times New Roman" w:eastAsia="仿宋"/>
                <w:color w:val="auto"/>
                <w:kern w:val="0"/>
                <w:sz w:val="20"/>
                <w:szCs w:val="20"/>
              </w:rPr>
              <w:t>5</w:t>
            </w:r>
            <w:r>
              <w:rPr>
                <w:rFonts w:ascii="Times New Roman" w:hAnsi="Times New Roman" w:eastAsia="仿宋"/>
                <w:color w:val="auto"/>
                <w:kern w:val="0"/>
                <w:sz w:val="20"/>
                <w:szCs w:val="20"/>
              </w:rPr>
              <w:t xml:space="preserve"> ppm以下，每公斤钯炭催化剂生产能力</w:t>
            </w:r>
            <w:r>
              <w:rPr>
                <w:rFonts w:hint="eastAsia" w:ascii="Times New Roman" w:hAnsi="Times New Roman" w:eastAsia="仿宋"/>
                <w:color w:val="auto"/>
                <w:kern w:val="0"/>
                <w:sz w:val="20"/>
                <w:szCs w:val="20"/>
              </w:rPr>
              <w:t>需</w:t>
            </w:r>
            <w:r>
              <w:rPr>
                <w:rFonts w:ascii="Times New Roman" w:hAnsi="Times New Roman" w:eastAsia="仿宋"/>
                <w:color w:val="auto"/>
                <w:kern w:val="0"/>
                <w:sz w:val="20"/>
                <w:szCs w:val="20"/>
              </w:rPr>
              <w:t>达到</w:t>
            </w:r>
            <w:r>
              <w:rPr>
                <w:rFonts w:hint="eastAsia" w:ascii="Times New Roman" w:hAnsi="Times New Roman" w:eastAsia="仿宋"/>
                <w:color w:val="auto"/>
                <w:kern w:val="0"/>
                <w:sz w:val="20"/>
                <w:szCs w:val="20"/>
              </w:rPr>
              <w:t>60</w:t>
            </w:r>
            <w:r>
              <w:rPr>
                <w:rFonts w:ascii="Times New Roman" w:hAnsi="Times New Roman" w:eastAsia="仿宋"/>
                <w:color w:val="auto"/>
                <w:kern w:val="0"/>
                <w:sz w:val="20"/>
                <w:szCs w:val="20"/>
              </w:rPr>
              <w:t>吨PTA以上。202</w:t>
            </w:r>
            <w:r>
              <w:rPr>
                <w:rFonts w:hint="eastAsia" w:ascii="Times New Roman" w:hAnsi="Times New Roman" w:eastAsia="仿宋"/>
                <w:color w:val="auto"/>
                <w:kern w:val="0"/>
                <w:sz w:val="20"/>
                <w:szCs w:val="20"/>
              </w:rPr>
              <w:t>5</w:t>
            </w:r>
            <w:r>
              <w:rPr>
                <w:rFonts w:ascii="Times New Roman" w:hAnsi="Times New Roman" w:eastAsia="仿宋"/>
                <w:color w:val="auto"/>
                <w:kern w:val="0"/>
                <w:sz w:val="20"/>
                <w:szCs w:val="20"/>
              </w:rPr>
              <w:t>年，国内PTA装置产能规模</w:t>
            </w:r>
            <w:r>
              <w:rPr>
                <w:rFonts w:hint="eastAsia" w:ascii="Times New Roman" w:hAnsi="Times New Roman" w:eastAsia="仿宋"/>
                <w:color w:val="auto"/>
                <w:kern w:val="0"/>
                <w:sz w:val="20"/>
                <w:szCs w:val="20"/>
              </w:rPr>
              <w:t>超过90</w:t>
            </w:r>
            <w:r>
              <w:rPr>
                <w:rFonts w:ascii="Times New Roman" w:hAnsi="Times New Roman" w:eastAsia="仿宋"/>
                <w:color w:val="auto"/>
                <w:kern w:val="0"/>
                <w:sz w:val="20"/>
                <w:szCs w:val="20"/>
              </w:rPr>
              <w:t>00万吨，按</w:t>
            </w:r>
            <w:r>
              <w:rPr>
                <w:rFonts w:hint="eastAsia" w:ascii="Times New Roman" w:hAnsi="Times New Roman" w:eastAsia="仿宋"/>
                <w:color w:val="auto"/>
                <w:kern w:val="0"/>
                <w:sz w:val="20"/>
                <w:szCs w:val="20"/>
              </w:rPr>
              <w:t>75</w:t>
            </w: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以上</w:t>
            </w:r>
            <w:r>
              <w:rPr>
                <w:rFonts w:ascii="Times New Roman" w:hAnsi="Times New Roman" w:eastAsia="仿宋"/>
                <w:color w:val="auto"/>
                <w:kern w:val="0"/>
                <w:sz w:val="20"/>
                <w:szCs w:val="20"/>
              </w:rPr>
              <w:t>的开工率计算，每年催化剂消耗量</w:t>
            </w:r>
            <w:r>
              <w:rPr>
                <w:rFonts w:hint="eastAsia" w:ascii="Times New Roman" w:hAnsi="Times New Roman" w:eastAsia="仿宋"/>
                <w:color w:val="auto"/>
                <w:kern w:val="0"/>
                <w:sz w:val="20"/>
                <w:szCs w:val="20"/>
              </w:rPr>
              <w:t>约</w:t>
            </w:r>
            <w:r>
              <w:rPr>
                <w:rFonts w:ascii="Times New Roman" w:hAnsi="Times New Roman" w:eastAsia="仿宋"/>
                <w:color w:val="auto"/>
                <w:kern w:val="0"/>
                <w:sz w:val="20"/>
                <w:szCs w:val="20"/>
              </w:rPr>
              <w:t>1000吨，产值规模20亿元。PTA精制钯炭催化剂市场长期</w:t>
            </w:r>
            <w:r>
              <w:rPr>
                <w:rFonts w:hint="eastAsia" w:ascii="Times New Roman" w:hAnsi="Times New Roman" w:eastAsia="仿宋"/>
                <w:color w:val="auto"/>
                <w:kern w:val="0"/>
                <w:sz w:val="20"/>
                <w:szCs w:val="20"/>
              </w:rPr>
              <w:t>被</w:t>
            </w:r>
            <w:r>
              <w:rPr>
                <w:rFonts w:ascii="Times New Roman" w:hAnsi="Times New Roman" w:eastAsia="仿宋"/>
                <w:color w:val="auto"/>
                <w:kern w:val="0"/>
                <w:sz w:val="20"/>
                <w:szCs w:val="20"/>
              </w:rPr>
              <w:t>德国巴斯夫、意大利奇美和瑞士科莱恩等公司所垄断，目前三家公司仍占据国内市场份额的80%以上，进口催化剂技术指标如表1所示。国内以中石化上海石化院为代表的单位在PTA精制钯炭催化剂开发方面取得了一批科技成果并取得了部分应用业绩，但</w:t>
            </w:r>
            <w:r>
              <w:rPr>
                <w:rFonts w:hint="eastAsia" w:ascii="Times New Roman" w:hAnsi="Times New Roman" w:eastAsia="仿宋"/>
                <w:color w:val="auto"/>
                <w:kern w:val="0"/>
                <w:sz w:val="20"/>
                <w:szCs w:val="20"/>
              </w:rPr>
              <w:t>在催化剂生产效率、使用寿命等核心指标上</w:t>
            </w:r>
            <w:r>
              <w:rPr>
                <w:rFonts w:ascii="Times New Roman" w:hAnsi="Times New Roman" w:eastAsia="仿宋"/>
                <w:color w:val="auto"/>
                <w:kern w:val="0"/>
                <w:sz w:val="20"/>
                <w:szCs w:val="20"/>
              </w:rPr>
              <w:t>与国际领先水平仍存在差距。</w:t>
            </w:r>
          </w:p>
          <w:p>
            <w:pPr>
              <w:widowControl/>
              <w:shd w:val="clear" w:color="auto" w:fill="FFFFFF"/>
              <w:overflowPunct w:val="0"/>
              <w:adjustRightInd w:val="0"/>
              <w:snapToGrid w:val="0"/>
              <w:spacing w:line="280" w:lineRule="exact"/>
              <w:ind w:firstLine="1000" w:firstLineChars="5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表1 进口PTA加氢精制钯炭催化剂产品与性能指标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1237"/>
              <w:gridCol w:w="1956"/>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项目</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单位</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进口催化剂</w:t>
                  </w:r>
                  <w:r>
                    <w:rPr>
                      <w:rFonts w:ascii="Times New Roman" w:hAnsi="Times New Roman" w:eastAsia="仿宋"/>
                      <w:color w:val="auto"/>
                      <w:kern w:val="0"/>
                      <w:sz w:val="20"/>
                      <w:szCs w:val="20"/>
                    </w:rPr>
                    <w:t>指标</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国内行业标准</w:t>
                  </w:r>
                  <w:r>
                    <w:rPr>
                      <w:rFonts w:hint="eastAsia" w:ascii="Times New Roman" w:hAnsi="Times New Roman" w:eastAsia="仿宋"/>
                      <w:color w:val="auto"/>
                      <w:kern w:val="0"/>
                      <w:sz w:val="20"/>
                      <w:szCs w:val="20"/>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钯含量（干基）</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%w/w</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b/>
                      <w:bCs/>
                      <w:color w:val="auto"/>
                      <w:kern w:val="0"/>
                      <w:sz w:val="20"/>
                      <w:szCs w:val="20"/>
                    </w:rPr>
                  </w:pPr>
                  <w:r>
                    <w:rPr>
                      <w:rFonts w:ascii="Times New Roman" w:hAnsi="Times New Roman" w:eastAsia="仿宋"/>
                      <w:b/>
                      <w:bCs/>
                      <w:color w:val="auto"/>
                      <w:kern w:val="0"/>
                      <w:sz w:val="20"/>
                      <w:szCs w:val="20"/>
                    </w:rPr>
                    <w:t>0.48-0.52</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0.50</w:t>
                  </w:r>
                  <w:r>
                    <w:rPr>
                      <w:rFonts w:hint="eastAsia" w:ascii="仿宋" w:hAnsi="仿宋" w:eastAsia="仿宋"/>
                      <w:color w:val="auto"/>
                      <w:kern w:val="0"/>
                      <w:sz w:val="20"/>
                      <w:szCs w:val="20"/>
                    </w:rPr>
                    <w:t>±</w:t>
                  </w:r>
                  <w:r>
                    <w:rPr>
                      <w:rFonts w:hint="eastAsia" w:ascii="Times New Roman" w:hAnsi="Times New Roman" w:eastAsia="仿宋"/>
                      <w:color w:val="auto"/>
                      <w:kern w:val="0"/>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含水率</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%w/w</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b/>
                      <w:bCs/>
                      <w:color w:val="auto"/>
                      <w:kern w:val="0"/>
                      <w:sz w:val="20"/>
                      <w:szCs w:val="20"/>
                    </w:rPr>
                  </w:pPr>
                  <w:r>
                    <w:rPr>
                      <w:rFonts w:ascii="Times New Roman" w:hAnsi="Times New Roman" w:eastAsia="仿宋"/>
                      <w:b/>
                      <w:bCs/>
                      <w:color w:val="auto"/>
                      <w:kern w:val="0"/>
                      <w:sz w:val="20"/>
                      <w:szCs w:val="20"/>
                    </w:rPr>
                    <w:t>35-45</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40</w:t>
                  </w:r>
                  <w:r>
                    <w:rPr>
                      <w:rFonts w:hint="eastAsia" w:ascii="仿宋" w:hAnsi="仿宋" w:eastAsia="仿宋"/>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硫</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ppm</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bookmarkStart w:id="2" w:name="OLE_LINK2"/>
                  <w:r>
                    <w:rPr>
                      <w:rFonts w:ascii="Times New Roman" w:hAnsi="Times New Roman" w:eastAsia="仿宋"/>
                      <w:color w:val="auto"/>
                      <w:kern w:val="0"/>
                      <w:sz w:val="20"/>
                      <w:szCs w:val="20"/>
                    </w:rPr>
                    <w:t>≤300</w:t>
                  </w:r>
                  <w:bookmarkEnd w:id="2"/>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铜</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ppm</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b/>
                      <w:bCs/>
                      <w:color w:val="auto"/>
                      <w:kern w:val="0"/>
                      <w:sz w:val="20"/>
                      <w:szCs w:val="20"/>
                    </w:rPr>
                  </w:pPr>
                  <w:r>
                    <w:rPr>
                      <w:rFonts w:ascii="Times New Roman" w:hAnsi="Times New Roman" w:eastAsia="仿宋"/>
                      <w:b/>
                      <w:bCs/>
                      <w:color w:val="auto"/>
                      <w:kern w:val="0"/>
                      <w:sz w:val="20"/>
                      <w:szCs w:val="20"/>
                    </w:rPr>
                    <w:t>≤30</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4</w:t>
                  </w:r>
                  <w:r>
                    <w:rPr>
                      <w:rFonts w:ascii="Times New Roman" w:hAnsi="Times New Roman" w:eastAsia="仿宋"/>
                      <w:color w:val="auto"/>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铁</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ppm</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b/>
                      <w:bCs/>
                      <w:color w:val="auto"/>
                      <w:kern w:val="0"/>
                      <w:sz w:val="20"/>
                      <w:szCs w:val="20"/>
                    </w:rPr>
                  </w:pPr>
                  <w:bookmarkStart w:id="3" w:name="OLE_LINK3"/>
                  <w:r>
                    <w:rPr>
                      <w:rFonts w:ascii="Times New Roman" w:hAnsi="Times New Roman" w:eastAsia="仿宋"/>
                      <w:b/>
                      <w:bCs/>
                      <w:color w:val="auto"/>
                      <w:kern w:val="0"/>
                      <w:sz w:val="20"/>
                      <w:szCs w:val="20"/>
                    </w:rPr>
                    <w:t>≤100</w:t>
                  </w:r>
                  <w:bookmarkEnd w:id="3"/>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2</w:t>
                  </w:r>
                  <w:r>
                    <w:rPr>
                      <w:rFonts w:ascii="Times New Roman" w:hAnsi="Times New Roman" w:eastAsia="仿宋"/>
                      <w:color w:val="auto"/>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堆积密度</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g/ml</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0.4</w:t>
                  </w:r>
                  <w:r>
                    <w:rPr>
                      <w:rFonts w:hint="eastAsia" w:ascii="Times New Roman" w:hAnsi="Times New Roman" w:eastAsia="仿宋"/>
                      <w:color w:val="auto"/>
                      <w:kern w:val="0"/>
                      <w:sz w:val="20"/>
                      <w:szCs w:val="20"/>
                    </w:rPr>
                    <w:t>3</w:t>
                  </w:r>
                  <w:r>
                    <w:rPr>
                      <w:rFonts w:ascii="Times New Roman" w:hAnsi="Times New Roman" w:eastAsia="仿宋"/>
                      <w:color w:val="auto"/>
                      <w:kern w:val="0"/>
                      <w:sz w:val="20"/>
                      <w:szCs w:val="20"/>
                    </w:rPr>
                    <w:t>-0.52</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0.45-0.52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比表面积</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m2/g</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bookmarkStart w:id="4" w:name="OLE_LINK4"/>
                  <w:r>
                    <w:rPr>
                      <w:rFonts w:ascii="Times New Roman" w:hAnsi="Times New Roman" w:eastAsia="仿宋"/>
                      <w:color w:val="auto"/>
                      <w:kern w:val="0"/>
                      <w:sz w:val="20"/>
                      <w:szCs w:val="20"/>
                    </w:rPr>
                    <w:t>≥</w:t>
                  </w:r>
                  <w:bookmarkEnd w:id="4"/>
                  <w:r>
                    <w:rPr>
                      <w:rFonts w:ascii="Times New Roman" w:hAnsi="Times New Roman" w:eastAsia="仿宋"/>
                      <w:color w:val="auto"/>
                      <w:kern w:val="0"/>
                      <w:sz w:val="20"/>
                      <w:szCs w:val="20"/>
                    </w:rPr>
                    <w:t>1000</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1000-1300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4-8目</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%w/w</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95</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磨损率</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bookmarkStart w:id="5" w:name="OLE_LINK15"/>
                  <w:r>
                    <w:rPr>
                      <w:rFonts w:ascii="Times New Roman" w:hAnsi="Times New Roman" w:eastAsia="仿宋"/>
                      <w:color w:val="auto"/>
                      <w:kern w:val="0"/>
                      <w:sz w:val="20"/>
                      <w:szCs w:val="20"/>
                    </w:rPr>
                    <w:t>%w/w</w:t>
                  </w:r>
                  <w:bookmarkEnd w:id="5"/>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bookmarkStart w:id="6" w:name="OLE_LINK10"/>
                  <w:r>
                    <w:rPr>
                      <w:rFonts w:ascii="Times New Roman" w:hAnsi="Times New Roman" w:eastAsia="仿宋"/>
                      <w:color w:val="auto"/>
                      <w:kern w:val="0"/>
                      <w:sz w:val="20"/>
                      <w:szCs w:val="20"/>
                    </w:rPr>
                    <w:t>≤1.5</w:t>
                  </w:r>
                  <w:bookmarkEnd w:id="6"/>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水洗粉末</w:t>
                  </w:r>
                </w:p>
              </w:tc>
              <w:tc>
                <w:tcPr>
                  <w:tcW w:w="1237"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%w/w</w:t>
                  </w:r>
                </w:p>
              </w:tc>
              <w:tc>
                <w:tcPr>
                  <w:tcW w:w="1956" w:type="dxa"/>
                  <w:vAlign w:val="center"/>
                </w:tcPr>
                <w:p>
                  <w:pPr>
                    <w:widowControl/>
                    <w:shd w:val="clear" w:color="auto" w:fill="FFFFFF"/>
                    <w:overflowPunct w:val="0"/>
                    <w:adjustRightInd w:val="0"/>
                    <w:snapToGrid w:val="0"/>
                    <w:spacing w:line="400" w:lineRule="exact"/>
                    <w:jc w:val="center"/>
                    <w:rPr>
                      <w:rFonts w:ascii="Times New Roman" w:hAnsi="Times New Roman" w:eastAsia="仿宋"/>
                      <w:b/>
                      <w:bCs/>
                      <w:color w:val="auto"/>
                      <w:kern w:val="0"/>
                      <w:sz w:val="20"/>
                      <w:szCs w:val="20"/>
                    </w:rPr>
                  </w:pPr>
                  <w:r>
                    <w:rPr>
                      <w:rFonts w:ascii="Times New Roman" w:hAnsi="Times New Roman" w:eastAsia="仿宋"/>
                      <w:b/>
                      <w:bCs/>
                      <w:color w:val="auto"/>
                      <w:kern w:val="0"/>
                      <w:sz w:val="20"/>
                      <w:szCs w:val="20"/>
                    </w:rPr>
                    <w:t>﹤0.15</w:t>
                  </w:r>
                </w:p>
              </w:tc>
              <w:tc>
                <w:tcPr>
                  <w:tcW w:w="1625" w:type="dxa"/>
                  <w:vAlign w:val="center"/>
                </w:tcPr>
                <w:p>
                  <w:pPr>
                    <w:widowControl/>
                    <w:shd w:val="clear" w:color="auto" w:fill="FFFFFF"/>
                    <w:overflowPunct w:val="0"/>
                    <w:adjustRightInd w:val="0"/>
                    <w:snapToGrid w:val="0"/>
                    <w:spacing w:line="40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活性（以对羧基苯甲醛转化率计）</w:t>
                  </w:r>
                </w:p>
              </w:tc>
              <w:tc>
                <w:tcPr>
                  <w:tcW w:w="1237"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%w/w</w:t>
                  </w:r>
                </w:p>
              </w:tc>
              <w:tc>
                <w:tcPr>
                  <w:tcW w:w="1956" w:type="dxa"/>
                  <w:vAlign w:val="center"/>
                </w:tcPr>
                <w:p>
                  <w:pPr>
                    <w:widowControl/>
                    <w:shd w:val="clear" w:color="auto" w:fill="FFFFFF"/>
                    <w:overflowPunct w:val="0"/>
                    <w:adjustRightInd w:val="0"/>
                    <w:snapToGrid w:val="0"/>
                    <w:spacing w:line="280" w:lineRule="exact"/>
                    <w:jc w:val="center"/>
                    <w:rPr>
                      <w:rFonts w:ascii="Times New Roman" w:hAnsi="Times New Roman" w:eastAsia="仿宋"/>
                      <w:b/>
                      <w:bCs/>
                      <w:color w:val="auto"/>
                      <w:kern w:val="0"/>
                      <w:sz w:val="20"/>
                      <w:szCs w:val="20"/>
                    </w:rPr>
                  </w:pPr>
                  <w:bookmarkStart w:id="7" w:name="OLE_LINK11"/>
                  <w:r>
                    <w:rPr>
                      <w:rFonts w:ascii="Times New Roman" w:hAnsi="Times New Roman" w:eastAsia="仿宋"/>
                      <w:b/>
                      <w:bCs/>
                      <w:color w:val="auto"/>
                      <w:kern w:val="0"/>
                      <w:sz w:val="20"/>
                      <w:szCs w:val="20"/>
                    </w:rPr>
                    <w:t>≥99.</w:t>
                  </w:r>
                  <w:r>
                    <w:rPr>
                      <w:rFonts w:hint="eastAsia" w:ascii="Times New Roman" w:hAnsi="Times New Roman" w:eastAsia="仿宋"/>
                      <w:b/>
                      <w:bCs/>
                      <w:color w:val="auto"/>
                      <w:kern w:val="0"/>
                      <w:sz w:val="20"/>
                      <w:szCs w:val="20"/>
                    </w:rPr>
                    <w:t>5</w:t>
                  </w:r>
                  <w:bookmarkEnd w:id="7"/>
                </w:p>
              </w:tc>
              <w:tc>
                <w:tcPr>
                  <w:tcW w:w="1625"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ascii="Times New Roman" w:hAnsi="Times New Roman" w:eastAsia="仿宋"/>
                      <w:color w:val="auto"/>
                      <w:kern w:val="0"/>
                      <w:sz w:val="20"/>
                      <w:szCs w:val="20"/>
                    </w:rPr>
                    <w:t>≥99.</w:t>
                  </w:r>
                  <w:r>
                    <w:rPr>
                      <w:rFonts w:hint="eastAsia" w:ascii="Times New Roman" w:hAnsi="Times New Roman" w:eastAsia="仿宋"/>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生产效率</w:t>
                  </w:r>
                  <w:r>
                    <w:rPr>
                      <w:rFonts w:hint="eastAsia" w:ascii="Times New Roman" w:hAnsi="Times New Roman" w:eastAsia="仿宋"/>
                      <w:color w:val="auto"/>
                      <w:kern w:val="0"/>
                      <w:sz w:val="20"/>
                      <w:szCs w:val="20"/>
                      <w:vertAlign w:val="superscript"/>
                    </w:rPr>
                    <w:t>2</w:t>
                  </w:r>
                </w:p>
              </w:tc>
              <w:tc>
                <w:tcPr>
                  <w:tcW w:w="1237"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tPTA/kgcat.</w:t>
                  </w:r>
                </w:p>
              </w:tc>
              <w:tc>
                <w:tcPr>
                  <w:tcW w:w="1956" w:type="dxa"/>
                  <w:vAlign w:val="center"/>
                </w:tcPr>
                <w:p>
                  <w:pPr>
                    <w:widowControl/>
                    <w:shd w:val="clear" w:color="auto" w:fill="FFFFFF"/>
                    <w:overflowPunct w:val="0"/>
                    <w:adjustRightInd w:val="0"/>
                    <w:snapToGrid w:val="0"/>
                    <w:spacing w:line="280" w:lineRule="exact"/>
                    <w:jc w:val="center"/>
                    <w:rPr>
                      <w:rFonts w:ascii="Times New Roman" w:hAnsi="Times New Roman" w:eastAsia="仿宋"/>
                      <w:b/>
                      <w:bCs/>
                      <w:color w:val="auto"/>
                      <w:kern w:val="0"/>
                      <w:sz w:val="20"/>
                      <w:szCs w:val="20"/>
                    </w:rPr>
                  </w:pPr>
                  <w:bookmarkStart w:id="8" w:name="OLE_LINK19"/>
                  <w:r>
                    <w:rPr>
                      <w:rFonts w:ascii="Times New Roman" w:hAnsi="Times New Roman" w:eastAsia="仿宋"/>
                      <w:b/>
                      <w:bCs/>
                      <w:color w:val="auto"/>
                      <w:kern w:val="0"/>
                      <w:sz w:val="20"/>
                      <w:szCs w:val="20"/>
                    </w:rPr>
                    <w:t>≥</w:t>
                  </w:r>
                  <w:bookmarkEnd w:id="8"/>
                  <w:r>
                    <w:rPr>
                      <w:rFonts w:hint="eastAsia" w:ascii="Times New Roman" w:hAnsi="Times New Roman" w:eastAsia="仿宋"/>
                      <w:b/>
                      <w:bCs/>
                      <w:color w:val="auto"/>
                      <w:kern w:val="0"/>
                      <w:sz w:val="20"/>
                      <w:szCs w:val="20"/>
                    </w:rPr>
                    <w:t>70</w:t>
                  </w:r>
                </w:p>
              </w:tc>
              <w:tc>
                <w:tcPr>
                  <w:tcW w:w="1625"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ascii="Times New Roman" w:hAnsi="Times New Roman" w:eastAsia="仿宋"/>
                      <w:b/>
                      <w:bCs/>
                      <w:color w:val="auto"/>
                      <w:kern w:val="0"/>
                      <w:sz w:val="20"/>
                      <w:szCs w:val="20"/>
                    </w:rPr>
                    <w:t>≥</w:t>
                  </w:r>
                  <w:r>
                    <w:rPr>
                      <w:rFonts w:hint="eastAsia" w:ascii="Times New Roman" w:hAnsi="Times New Roman" w:eastAsia="仿宋"/>
                      <w:b/>
                      <w:bCs/>
                      <w:color w:val="auto"/>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使用寿命</w:t>
                  </w:r>
                  <w:r>
                    <w:rPr>
                      <w:rFonts w:hint="eastAsia" w:ascii="Times New Roman" w:hAnsi="Times New Roman" w:eastAsia="仿宋"/>
                      <w:color w:val="auto"/>
                      <w:kern w:val="0"/>
                      <w:sz w:val="20"/>
                      <w:szCs w:val="20"/>
                      <w:vertAlign w:val="superscript"/>
                    </w:rPr>
                    <w:t>2</w:t>
                  </w:r>
                </w:p>
              </w:tc>
              <w:tc>
                <w:tcPr>
                  <w:tcW w:w="1237" w:type="dxa"/>
                  <w:vAlign w:val="center"/>
                </w:tcPr>
                <w:p>
                  <w:pPr>
                    <w:widowControl/>
                    <w:shd w:val="clear" w:color="auto" w:fill="FFFFFF"/>
                    <w:overflowPunct w:val="0"/>
                    <w:adjustRightInd w:val="0"/>
                    <w:snapToGrid w:val="0"/>
                    <w:spacing w:line="280" w:lineRule="exact"/>
                    <w:jc w:val="center"/>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月</w:t>
                  </w:r>
                </w:p>
              </w:tc>
              <w:tc>
                <w:tcPr>
                  <w:tcW w:w="1956" w:type="dxa"/>
                  <w:vAlign w:val="center"/>
                </w:tcPr>
                <w:p>
                  <w:pPr>
                    <w:widowControl/>
                    <w:shd w:val="clear" w:color="auto" w:fill="FFFFFF"/>
                    <w:overflowPunct w:val="0"/>
                    <w:adjustRightInd w:val="0"/>
                    <w:snapToGrid w:val="0"/>
                    <w:spacing w:line="280" w:lineRule="exact"/>
                    <w:jc w:val="center"/>
                    <w:rPr>
                      <w:rFonts w:ascii="Times New Roman" w:hAnsi="Times New Roman" w:eastAsia="仿宋"/>
                      <w:b/>
                      <w:bCs/>
                      <w:color w:val="auto"/>
                      <w:kern w:val="0"/>
                      <w:sz w:val="20"/>
                      <w:szCs w:val="20"/>
                    </w:rPr>
                  </w:pPr>
                  <w:r>
                    <w:rPr>
                      <w:rFonts w:hint="eastAsia" w:ascii="Times New Roman" w:hAnsi="Times New Roman" w:eastAsia="仿宋"/>
                      <w:b/>
                      <w:bCs/>
                      <w:color w:val="auto"/>
                      <w:kern w:val="0"/>
                      <w:sz w:val="20"/>
                      <w:szCs w:val="20"/>
                    </w:rPr>
                    <w:t>18-24</w:t>
                  </w:r>
                </w:p>
              </w:tc>
              <w:tc>
                <w:tcPr>
                  <w:tcW w:w="1625" w:type="dxa"/>
                  <w:vAlign w:val="center"/>
                </w:tcPr>
                <w:p>
                  <w:pPr>
                    <w:widowControl/>
                    <w:shd w:val="clear" w:color="auto" w:fill="FFFFFF"/>
                    <w:overflowPunct w:val="0"/>
                    <w:adjustRightInd w:val="0"/>
                    <w:snapToGrid w:val="0"/>
                    <w:spacing w:line="280" w:lineRule="exact"/>
                    <w:jc w:val="center"/>
                    <w:rPr>
                      <w:rFonts w:ascii="Times New Roman" w:hAnsi="Times New Roman" w:eastAsia="仿宋"/>
                      <w:b/>
                      <w:bCs/>
                      <w:color w:val="auto"/>
                      <w:kern w:val="0"/>
                      <w:sz w:val="20"/>
                      <w:szCs w:val="20"/>
                    </w:rPr>
                  </w:pPr>
                  <w:r>
                    <w:rPr>
                      <w:rFonts w:hint="eastAsia" w:ascii="Times New Roman" w:hAnsi="Times New Roman" w:eastAsia="仿宋"/>
                      <w:b/>
                      <w:bCs/>
                      <w:color w:val="auto"/>
                      <w:kern w:val="0"/>
                      <w:sz w:val="20"/>
                      <w:szCs w:val="20"/>
                    </w:rPr>
                    <w:t>—</w:t>
                  </w:r>
                </w:p>
              </w:tc>
            </w:tr>
          </w:tbl>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hint="eastAsia" w:ascii="Times New Roman" w:hAnsi="Times New Roman" w:eastAsia="仿宋"/>
                <w:color w:val="auto"/>
                <w:kern w:val="0"/>
                <w:sz w:val="20"/>
                <w:szCs w:val="20"/>
                <w:vertAlign w:val="superscript"/>
              </w:rPr>
              <w:t>1</w:t>
            </w:r>
            <w:r>
              <w:rPr>
                <w:rFonts w:hint="eastAsia" w:ascii="Times New Roman" w:hAnsi="Times New Roman" w:eastAsia="仿宋"/>
                <w:color w:val="auto"/>
                <w:kern w:val="0"/>
                <w:sz w:val="20"/>
                <w:szCs w:val="20"/>
              </w:rPr>
              <w:t xml:space="preserve"> 来自HG/T 5584-2019</w:t>
            </w:r>
            <w:r>
              <w:rPr>
                <w:rFonts w:hint="eastAsia" w:ascii="Times New Roman" w:hAnsi="Times New Roman" w:eastAsia="仿宋"/>
                <w:color w:val="auto"/>
                <w:kern w:val="0"/>
                <w:sz w:val="20"/>
                <w:szCs w:val="20"/>
                <w:vertAlign w:val="superscript"/>
              </w:rPr>
              <w:t>2</w:t>
            </w:r>
            <w:r>
              <w:rPr>
                <w:rFonts w:hint="eastAsia" w:ascii="Times New Roman" w:hAnsi="Times New Roman" w:eastAsia="仿宋"/>
                <w:color w:val="auto"/>
                <w:kern w:val="0"/>
                <w:sz w:val="20"/>
                <w:szCs w:val="20"/>
              </w:rPr>
              <w:t xml:space="preserve"> 催化剂预期性能指标。</w:t>
            </w:r>
          </w:p>
          <w:p>
            <w:pPr>
              <w:widowControl/>
              <w:shd w:val="clear" w:color="auto" w:fill="FFFFFF"/>
              <w:overflowPunct w:val="0"/>
              <w:adjustRightInd w:val="0"/>
              <w:snapToGrid w:val="0"/>
              <w:spacing w:line="280" w:lineRule="exact"/>
              <w:ind w:firstLine="400" w:firstLineChars="200"/>
              <w:jc w:val="left"/>
              <w:rPr>
                <w:rFonts w:ascii="Times New Roman" w:hAnsi="Times New Roman"/>
                <w:color w:val="auto"/>
                <w:kern w:val="0"/>
                <w:sz w:val="20"/>
                <w:szCs w:val="20"/>
              </w:rPr>
            </w:pPr>
            <w:r>
              <w:rPr>
                <w:rFonts w:ascii="Times New Roman" w:hAnsi="Times New Roman" w:eastAsia="仿宋"/>
                <w:color w:val="auto"/>
                <w:kern w:val="0"/>
                <w:sz w:val="20"/>
                <w:szCs w:val="20"/>
              </w:rPr>
              <w:t>贵金属集团具备完善的钯金属前驱体-钯炭催化剂-失效钯炭催化剂钯回收循环全产业链体系，开展PTA精制钯炭催化剂的自主研发与产业化，对于</w:t>
            </w:r>
            <w:bookmarkStart w:id="9" w:name="OLE_LINK9"/>
            <w:r>
              <w:rPr>
                <w:rFonts w:ascii="Times New Roman" w:hAnsi="Times New Roman" w:eastAsia="仿宋"/>
                <w:color w:val="auto"/>
                <w:kern w:val="0"/>
                <w:sz w:val="20"/>
                <w:szCs w:val="20"/>
              </w:rPr>
              <w:t>保障国内PTA装置配套国产催化剂的供给能力，增强贵金属钯-钯前驱体-钯炭催化剂-失效钯炭催化剂钯循环利用产业链水平，发展高端贵金属催化剂具有重要意义。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技术难题</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PTA加氢精制反应在固定床反应器中，在钯炭催化剂的催化作用下，于反应温度280~290 ℃和反应压力</w:t>
            </w:r>
            <w:bookmarkStart w:id="10" w:name="OLE_LINK1"/>
            <w:r>
              <w:rPr>
                <w:rFonts w:ascii="Times New Roman" w:hAnsi="Times New Roman" w:eastAsia="仿宋"/>
                <w:color w:val="auto"/>
                <w:kern w:val="0"/>
                <w:sz w:val="20"/>
                <w:szCs w:val="20"/>
              </w:rPr>
              <w:t>9.0~9.5</w:t>
            </w:r>
            <w:bookmarkEnd w:id="10"/>
            <w:r>
              <w:rPr>
                <w:rFonts w:ascii="Times New Roman" w:hAnsi="Times New Roman" w:eastAsia="仿宋"/>
                <w:color w:val="auto"/>
                <w:kern w:val="0"/>
                <w:sz w:val="20"/>
                <w:szCs w:val="20"/>
              </w:rPr>
              <w:t xml:space="preserve"> MPa 下4-CBA 与氢气发生还原反应将 4-CBA 还原为易溶于水的对甲基苯甲酸（PT），再通过结晶分离出</w:t>
            </w:r>
            <w:r>
              <w:rPr>
                <w:rFonts w:hint="eastAsia" w:ascii="Times New Roman" w:hAnsi="Times New Roman" w:eastAsia="仿宋"/>
                <w:color w:val="auto"/>
                <w:kern w:val="0"/>
                <w:sz w:val="20"/>
                <w:szCs w:val="20"/>
              </w:rPr>
              <w:t>PTA</w:t>
            </w:r>
            <w:r>
              <w:rPr>
                <w:rFonts w:ascii="Times New Roman" w:hAnsi="Times New Roman" w:eastAsia="仿宋"/>
                <w:color w:val="auto"/>
                <w:kern w:val="0"/>
                <w:sz w:val="20"/>
                <w:szCs w:val="20"/>
              </w:rPr>
              <w:t>，从而实现去除 4-CBA。商业催化剂在满足催化剂活性（以</w:t>
            </w:r>
            <w:bookmarkStart w:id="11" w:name="OLE_LINK8"/>
            <w:r>
              <w:rPr>
                <w:rFonts w:ascii="Times New Roman" w:hAnsi="Times New Roman" w:eastAsia="仿宋"/>
                <w:color w:val="auto"/>
                <w:kern w:val="0"/>
                <w:sz w:val="20"/>
                <w:szCs w:val="20"/>
              </w:rPr>
              <w:t>4-CBA转化率计</w:t>
            </w:r>
            <w:bookmarkEnd w:id="11"/>
            <w:r>
              <w:rPr>
                <w:rFonts w:ascii="Times New Roman" w:hAnsi="Times New Roman" w:eastAsia="仿宋"/>
                <w:color w:val="auto"/>
                <w:kern w:val="0"/>
                <w:sz w:val="20"/>
                <w:szCs w:val="20"/>
              </w:rPr>
              <w:t>）≥ 99.</w:t>
            </w:r>
            <w:r>
              <w:rPr>
                <w:rFonts w:hint="eastAsia" w:ascii="Times New Roman" w:hAnsi="Times New Roman" w:eastAsia="仿宋"/>
                <w:color w:val="auto"/>
                <w:kern w:val="0"/>
                <w:sz w:val="20"/>
                <w:szCs w:val="20"/>
              </w:rPr>
              <w:t>5</w:t>
            </w:r>
            <w:r>
              <w:rPr>
                <w:rFonts w:ascii="Times New Roman" w:hAnsi="Times New Roman" w:eastAsia="仿宋"/>
                <w:color w:val="auto"/>
                <w:kern w:val="0"/>
                <w:sz w:val="20"/>
                <w:szCs w:val="20"/>
              </w:rPr>
              <w:t>%、选择性（以PT计）≥ 99.8% 的工况下，需要实现PTA精制钯炭催化剂18个月以上的稳定服役寿命。</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由于反应的特点是高温、高压，原料中含有ppm级的</w:t>
            </w:r>
            <w:r>
              <w:rPr>
                <w:rFonts w:hint="eastAsia" w:ascii="Times New Roman" w:hAnsi="Times New Roman" w:eastAsia="仿宋"/>
                <w:color w:val="auto"/>
                <w:kern w:val="0"/>
                <w:sz w:val="20"/>
                <w:szCs w:val="20"/>
              </w:rPr>
              <w:t>溴、钴、锰、钠、钾、铁、镍、磷、</w:t>
            </w:r>
            <w:r>
              <w:rPr>
                <w:rFonts w:ascii="Times New Roman" w:hAnsi="Times New Roman" w:eastAsia="仿宋"/>
                <w:color w:val="auto"/>
                <w:kern w:val="0"/>
                <w:sz w:val="20"/>
                <w:szCs w:val="20"/>
              </w:rPr>
              <w:t>硫</w:t>
            </w:r>
            <w:r>
              <w:rPr>
                <w:rFonts w:hint="eastAsia" w:ascii="Times New Roman" w:hAnsi="Times New Roman" w:eastAsia="仿宋"/>
                <w:color w:val="auto"/>
                <w:kern w:val="0"/>
                <w:sz w:val="20"/>
                <w:szCs w:val="20"/>
              </w:rPr>
              <w:t>等物种，同时含有3%的醋酸</w:t>
            </w:r>
            <w:r>
              <w:rPr>
                <w:rFonts w:ascii="Times New Roman" w:hAnsi="Times New Roman" w:eastAsia="仿宋"/>
                <w:color w:val="auto"/>
                <w:kern w:val="0"/>
                <w:sz w:val="20"/>
                <w:szCs w:val="20"/>
              </w:rPr>
              <w:t>，以及脱羰基副反应产生CO，致使活性组分钯</w:t>
            </w:r>
            <w:r>
              <w:rPr>
                <w:rFonts w:hint="eastAsia" w:ascii="Times New Roman" w:hAnsi="Times New Roman" w:eastAsia="仿宋"/>
                <w:color w:val="auto"/>
                <w:kern w:val="0"/>
                <w:sz w:val="20"/>
                <w:szCs w:val="20"/>
              </w:rPr>
              <w:t>团聚长大</w:t>
            </w:r>
            <w:r>
              <w:rPr>
                <w:rFonts w:ascii="Times New Roman" w:hAnsi="Times New Roman" w:eastAsia="仿宋"/>
                <w:color w:val="auto"/>
                <w:kern w:val="0"/>
                <w:sz w:val="20"/>
                <w:szCs w:val="20"/>
              </w:rPr>
              <w:t>、催化剂破碎粉化、硫和CO中毒是影响钯炭催化剂活性和寿命的主要因素。因此，降低或抑制钯</w:t>
            </w:r>
            <w:r>
              <w:rPr>
                <w:rFonts w:hint="eastAsia" w:ascii="Times New Roman" w:hAnsi="Times New Roman" w:eastAsia="仿宋"/>
                <w:color w:val="auto"/>
                <w:kern w:val="0"/>
                <w:sz w:val="20"/>
                <w:szCs w:val="20"/>
              </w:rPr>
              <w:t>团聚</w:t>
            </w:r>
            <w:r>
              <w:rPr>
                <w:rFonts w:ascii="Times New Roman" w:hAnsi="Times New Roman" w:eastAsia="仿宋"/>
                <w:color w:val="auto"/>
                <w:kern w:val="0"/>
                <w:sz w:val="20"/>
                <w:szCs w:val="20"/>
              </w:rPr>
              <w:t>、催化剂粉化和提高抗中毒性能，是工业化催化剂需要解决的重点技术难题。解决的途径，一方面需要优化催化剂的</w:t>
            </w:r>
            <w:r>
              <w:rPr>
                <w:rFonts w:hint="eastAsia" w:ascii="Times New Roman" w:hAnsi="Times New Roman" w:eastAsia="仿宋"/>
                <w:color w:val="auto"/>
                <w:kern w:val="0"/>
                <w:sz w:val="20"/>
                <w:szCs w:val="20"/>
              </w:rPr>
              <w:t>微观</w:t>
            </w:r>
            <w:r>
              <w:rPr>
                <w:rFonts w:ascii="Times New Roman" w:hAnsi="Times New Roman" w:eastAsia="仿宋"/>
                <w:color w:val="auto"/>
                <w:kern w:val="0"/>
                <w:sz w:val="20"/>
                <w:szCs w:val="20"/>
              </w:rPr>
              <w:t>结构，另一方面，也需要开发</w:t>
            </w:r>
            <w:r>
              <w:rPr>
                <w:rFonts w:hint="eastAsia" w:ascii="Times New Roman" w:hAnsi="Times New Roman" w:eastAsia="仿宋"/>
                <w:color w:val="auto"/>
                <w:kern w:val="0"/>
                <w:sz w:val="20"/>
                <w:szCs w:val="20"/>
              </w:rPr>
              <w:t>与</w:t>
            </w:r>
            <w:r>
              <w:rPr>
                <w:rFonts w:ascii="Times New Roman" w:hAnsi="Times New Roman" w:eastAsia="仿宋"/>
                <w:color w:val="auto"/>
                <w:kern w:val="0"/>
                <w:sz w:val="20"/>
                <w:szCs w:val="20"/>
              </w:rPr>
              <w:t>加氢精制</w:t>
            </w:r>
            <w:r>
              <w:rPr>
                <w:rFonts w:hint="eastAsia" w:ascii="Times New Roman" w:hAnsi="Times New Roman" w:eastAsia="仿宋"/>
                <w:color w:val="auto"/>
                <w:kern w:val="0"/>
                <w:sz w:val="20"/>
                <w:szCs w:val="20"/>
              </w:rPr>
              <w:t>反应器和</w:t>
            </w:r>
            <w:r>
              <w:rPr>
                <w:rFonts w:ascii="Times New Roman" w:hAnsi="Times New Roman" w:eastAsia="仿宋"/>
                <w:color w:val="auto"/>
                <w:kern w:val="0"/>
                <w:sz w:val="20"/>
                <w:szCs w:val="20"/>
              </w:rPr>
              <w:t>工艺条件</w:t>
            </w:r>
            <w:r>
              <w:rPr>
                <w:rFonts w:hint="eastAsia" w:ascii="Times New Roman" w:hAnsi="Times New Roman" w:eastAsia="仿宋"/>
                <w:color w:val="auto"/>
                <w:kern w:val="0"/>
                <w:sz w:val="20"/>
                <w:szCs w:val="20"/>
              </w:rPr>
              <w:t>适配</w:t>
            </w:r>
            <w:r>
              <w:rPr>
                <w:rFonts w:ascii="Times New Roman" w:hAnsi="Times New Roman" w:eastAsia="仿宋"/>
                <w:color w:val="auto"/>
                <w:kern w:val="0"/>
                <w:sz w:val="20"/>
                <w:szCs w:val="20"/>
              </w:rPr>
              <w:t>的催化剂</w:t>
            </w:r>
            <w:r>
              <w:rPr>
                <w:rFonts w:hint="eastAsia" w:ascii="Times New Roman" w:hAnsi="Times New Roman" w:eastAsia="仿宋"/>
                <w:color w:val="auto"/>
                <w:kern w:val="0"/>
                <w:sz w:val="20"/>
                <w:szCs w:val="20"/>
              </w:rPr>
              <w:t>介观结构</w:t>
            </w: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微观</w:t>
            </w:r>
            <w:r>
              <w:rPr>
                <w:rFonts w:ascii="Times New Roman" w:hAnsi="Times New Roman" w:eastAsia="仿宋"/>
                <w:color w:val="auto"/>
                <w:kern w:val="0"/>
                <w:sz w:val="20"/>
                <w:szCs w:val="20"/>
              </w:rPr>
              <w:t>结构方面，需要开发具有适宜钯</w:t>
            </w:r>
            <w:r>
              <w:rPr>
                <w:rFonts w:hint="eastAsia" w:ascii="Times New Roman" w:hAnsi="Times New Roman" w:eastAsia="仿宋"/>
                <w:color w:val="auto"/>
                <w:kern w:val="0"/>
                <w:sz w:val="20"/>
                <w:szCs w:val="20"/>
              </w:rPr>
              <w:t>晶粒大小、</w:t>
            </w:r>
            <w:r>
              <w:rPr>
                <w:rFonts w:ascii="Times New Roman" w:hAnsi="Times New Roman" w:eastAsia="仿宋"/>
                <w:color w:val="auto"/>
                <w:kern w:val="0"/>
                <w:sz w:val="20"/>
                <w:szCs w:val="20"/>
              </w:rPr>
              <w:t>钯分布</w:t>
            </w:r>
            <w:r>
              <w:rPr>
                <w:rFonts w:hint="eastAsia" w:ascii="Times New Roman" w:hAnsi="Times New Roman" w:eastAsia="仿宋"/>
                <w:color w:val="auto"/>
                <w:kern w:val="0"/>
                <w:sz w:val="20"/>
                <w:szCs w:val="20"/>
              </w:rPr>
              <w:t>和孔结构等性能</w:t>
            </w:r>
            <w:r>
              <w:rPr>
                <w:rFonts w:ascii="Times New Roman" w:hAnsi="Times New Roman" w:eastAsia="仿宋"/>
                <w:color w:val="auto"/>
                <w:kern w:val="0"/>
                <w:sz w:val="20"/>
                <w:szCs w:val="20"/>
              </w:rPr>
              <w:t>的催化剂，</w:t>
            </w:r>
            <w:r>
              <w:rPr>
                <w:rFonts w:hint="eastAsia" w:ascii="Times New Roman" w:hAnsi="Times New Roman" w:eastAsia="仿宋"/>
                <w:color w:val="auto"/>
                <w:kern w:val="0"/>
                <w:sz w:val="20"/>
                <w:szCs w:val="20"/>
              </w:rPr>
              <w:t>介观结构</w:t>
            </w:r>
            <w:r>
              <w:rPr>
                <w:rFonts w:ascii="Times New Roman" w:hAnsi="Times New Roman" w:eastAsia="仿宋"/>
                <w:color w:val="auto"/>
                <w:kern w:val="0"/>
                <w:sz w:val="20"/>
                <w:szCs w:val="20"/>
              </w:rPr>
              <w:t>方面，需要开发</w:t>
            </w:r>
            <w:r>
              <w:rPr>
                <w:rFonts w:hint="eastAsia" w:ascii="Times New Roman" w:hAnsi="Times New Roman" w:eastAsia="仿宋"/>
                <w:color w:val="auto"/>
                <w:kern w:val="0"/>
                <w:sz w:val="20"/>
                <w:szCs w:val="20"/>
              </w:rPr>
              <w:t>具有合适外形形状、</w:t>
            </w:r>
            <w:r>
              <w:rPr>
                <w:rFonts w:ascii="Times New Roman" w:hAnsi="Times New Roman" w:eastAsia="仿宋"/>
                <w:color w:val="auto"/>
                <w:kern w:val="0"/>
                <w:sz w:val="20"/>
                <w:szCs w:val="20"/>
              </w:rPr>
              <w:t>高强度、</w:t>
            </w:r>
            <w:r>
              <w:rPr>
                <w:rFonts w:hint="eastAsia" w:ascii="Times New Roman" w:hAnsi="Times New Roman" w:eastAsia="仿宋"/>
                <w:color w:val="auto"/>
                <w:kern w:val="0"/>
                <w:sz w:val="20"/>
                <w:szCs w:val="20"/>
              </w:rPr>
              <w:t>低杂质含量等性能的催化剂</w:t>
            </w:r>
            <w:r>
              <w:rPr>
                <w:rFonts w:ascii="Times New Roman" w:hAnsi="Times New Roman" w:eastAsia="仿宋"/>
                <w:color w:val="auto"/>
                <w:kern w:val="0"/>
                <w:sz w:val="20"/>
                <w:szCs w:val="20"/>
              </w:rPr>
              <w:t>。</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此外，传统制备钯炭催化剂所使用的钯前驱体（如硝酸钯、氯化钯等）往往水溶性较差，通常需借助酸</w:t>
            </w:r>
            <w:r>
              <w:rPr>
                <w:rFonts w:hint="eastAsia" w:ascii="Times New Roman" w:hAnsi="Times New Roman" w:eastAsia="仿宋"/>
                <w:color w:val="auto"/>
                <w:kern w:val="0"/>
                <w:sz w:val="20"/>
                <w:szCs w:val="20"/>
              </w:rPr>
              <w:t>（盐酸、硝酸）</w:t>
            </w:r>
            <w:r>
              <w:rPr>
                <w:rFonts w:ascii="Times New Roman" w:hAnsi="Times New Roman" w:eastAsia="仿宋"/>
                <w:color w:val="auto"/>
                <w:kern w:val="0"/>
                <w:sz w:val="20"/>
                <w:szCs w:val="20"/>
              </w:rPr>
              <w:t>或有机溶剂进行溶解，这制约了催化剂制备过程的绿色化发展。因此，开发</w:t>
            </w:r>
            <w:r>
              <w:rPr>
                <w:rFonts w:hint="eastAsia" w:ascii="Times New Roman" w:hAnsi="Times New Roman" w:eastAsia="仿宋"/>
                <w:color w:val="auto"/>
                <w:kern w:val="0"/>
                <w:sz w:val="20"/>
                <w:szCs w:val="20"/>
              </w:rPr>
              <w:t>水溶性</w:t>
            </w:r>
            <w:r>
              <w:rPr>
                <w:rFonts w:ascii="Times New Roman" w:hAnsi="Times New Roman" w:eastAsia="仿宋"/>
                <w:color w:val="auto"/>
                <w:kern w:val="0"/>
                <w:sz w:val="20"/>
                <w:szCs w:val="20"/>
              </w:rPr>
              <w:t>钯前驱体体系及相应的钯炭制备技术，不仅能够提升PTA加氢精制Pd/C催化剂制备过程的绿色化水平，也可为负载型催化剂的绿色制备提供重要指导</w:t>
            </w:r>
            <w:r>
              <w:rPr>
                <w:rFonts w:hint="eastAsia" w:ascii="Times New Roman" w:hAnsi="Times New Roman" w:eastAsia="仿宋"/>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bookmarkStart w:id="12" w:name="OLE_LINK5"/>
            <w:r>
              <w:rPr>
                <w:rFonts w:ascii="Times New Roman" w:hAnsi="Times New Roman"/>
                <w:b/>
                <w:bCs/>
                <w:color w:val="auto"/>
                <w:kern w:val="0"/>
                <w:sz w:val="20"/>
              </w:rPr>
              <w:t>研究内容</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面向PTA精制钯炭催化剂的国产化开发及工业化应用的开发需求，开发钯炭催化剂新产品，实现催化剂的工业示范应用。实施内容包括：</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（1）新型</w:t>
            </w:r>
            <w:r>
              <w:rPr>
                <w:rFonts w:hint="eastAsia" w:ascii="Times New Roman" w:hAnsi="Times New Roman" w:eastAsia="仿宋"/>
                <w:color w:val="auto"/>
                <w:kern w:val="0"/>
                <w:sz w:val="20"/>
                <w:szCs w:val="20"/>
              </w:rPr>
              <w:t>水溶性</w:t>
            </w:r>
            <w:r>
              <w:rPr>
                <w:rFonts w:ascii="Times New Roman" w:hAnsi="Times New Roman" w:eastAsia="仿宋"/>
                <w:color w:val="auto"/>
                <w:kern w:val="0"/>
                <w:sz w:val="20"/>
                <w:szCs w:val="20"/>
              </w:rPr>
              <w:t>钯前驱体的设计与开发</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基于钯的化学特性，设计并合成一系列</w:t>
            </w:r>
            <w:r>
              <w:rPr>
                <w:rFonts w:hint="eastAsia" w:ascii="Times New Roman" w:hAnsi="Times New Roman" w:eastAsia="仿宋"/>
                <w:color w:val="auto"/>
                <w:kern w:val="0"/>
                <w:sz w:val="20"/>
                <w:szCs w:val="20"/>
              </w:rPr>
              <w:t>水溶性</w:t>
            </w:r>
            <w:r>
              <w:rPr>
                <w:rFonts w:ascii="Times New Roman" w:hAnsi="Times New Roman" w:eastAsia="仿宋"/>
                <w:color w:val="auto"/>
                <w:kern w:val="0"/>
                <w:sz w:val="20"/>
                <w:szCs w:val="20"/>
              </w:rPr>
              <w:t>钯金属前驱体。系统开展其化学组成与理化性质表征，研究其与活性炭载体的相互作用，并评估其在钯炭催化剂制备中的适配性及性能表现。</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（2）钯前驱体的批量制备技术</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开发</w:t>
            </w:r>
            <w:r>
              <w:rPr>
                <w:rFonts w:hint="eastAsia" w:ascii="Times New Roman" w:hAnsi="Times New Roman" w:eastAsia="仿宋"/>
                <w:color w:val="auto"/>
                <w:kern w:val="0"/>
                <w:sz w:val="20"/>
                <w:szCs w:val="20"/>
              </w:rPr>
              <w:t>水溶性</w:t>
            </w:r>
            <w:r>
              <w:rPr>
                <w:rFonts w:ascii="Times New Roman" w:hAnsi="Times New Roman" w:eastAsia="仿宋"/>
                <w:color w:val="auto"/>
                <w:kern w:val="0"/>
                <w:sz w:val="20"/>
                <w:szCs w:val="20"/>
              </w:rPr>
              <w:t>钯前驱体的规模化合成工艺及装备，形成可工业放大的工艺技术，建立完善的成套</w:t>
            </w:r>
            <w:r>
              <w:rPr>
                <w:rFonts w:hint="eastAsia" w:ascii="Times New Roman" w:hAnsi="Times New Roman" w:eastAsia="仿宋"/>
                <w:color w:val="auto"/>
                <w:kern w:val="0"/>
                <w:sz w:val="20"/>
                <w:szCs w:val="20"/>
              </w:rPr>
              <w:t>工程化制备</w:t>
            </w:r>
            <w:r>
              <w:rPr>
                <w:rFonts w:ascii="Times New Roman" w:hAnsi="Times New Roman" w:eastAsia="仿宋"/>
                <w:color w:val="auto"/>
                <w:kern w:val="0"/>
                <w:sz w:val="20"/>
                <w:szCs w:val="20"/>
              </w:rPr>
              <w:t>技术及产品质量控制标准，实现前驱体的稳定供应与质量控制。</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（3）PTA精制钯炭催化剂制备技术与应用技术研究</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围绕PTA加氢精制催化剂结构设计需求，开展活性炭载体的改性与催化剂结构调控研究，揭示催化剂“</w:t>
            </w:r>
            <w:r>
              <w:rPr>
                <w:rFonts w:hint="eastAsia" w:ascii="Times New Roman" w:hAnsi="Times New Roman" w:eastAsia="仿宋"/>
                <w:color w:val="auto"/>
                <w:kern w:val="0"/>
                <w:sz w:val="20"/>
                <w:szCs w:val="20"/>
              </w:rPr>
              <w:t>载体结构</w:t>
            </w:r>
            <w:r>
              <w:rPr>
                <w:rFonts w:ascii="Times New Roman" w:hAnsi="Times New Roman" w:eastAsia="仿宋"/>
                <w:color w:val="auto"/>
                <w:kern w:val="0"/>
                <w:sz w:val="20"/>
                <w:szCs w:val="20"/>
              </w:rPr>
              <w:t>—制备工艺</w:t>
            </w:r>
            <w:bookmarkStart w:id="13" w:name="OLE_LINK17"/>
            <w:r>
              <w:rPr>
                <w:rFonts w:ascii="Times New Roman" w:hAnsi="Times New Roman" w:eastAsia="仿宋"/>
                <w:color w:val="auto"/>
                <w:kern w:val="0"/>
                <w:sz w:val="20"/>
                <w:szCs w:val="20"/>
              </w:rPr>
              <w:t>—</w:t>
            </w:r>
            <w:bookmarkEnd w:id="13"/>
            <w:r>
              <w:rPr>
                <w:rFonts w:ascii="Times New Roman" w:hAnsi="Times New Roman" w:eastAsia="仿宋"/>
                <w:color w:val="auto"/>
                <w:kern w:val="0"/>
                <w:sz w:val="20"/>
                <w:szCs w:val="20"/>
              </w:rPr>
              <w:t>微</w:t>
            </w:r>
            <w:r>
              <w:rPr>
                <w:rFonts w:hint="eastAsia" w:ascii="Times New Roman" w:hAnsi="Times New Roman" w:eastAsia="仿宋"/>
                <w:color w:val="auto"/>
                <w:kern w:val="0"/>
                <w:sz w:val="20"/>
                <w:szCs w:val="20"/>
              </w:rPr>
              <w:t>介</w:t>
            </w:r>
            <w:r>
              <w:rPr>
                <w:rFonts w:ascii="Times New Roman" w:hAnsi="Times New Roman" w:eastAsia="仿宋"/>
                <w:color w:val="auto"/>
                <w:kern w:val="0"/>
                <w:sz w:val="20"/>
                <w:szCs w:val="20"/>
              </w:rPr>
              <w:t>观结构—催化性能”之间的关联规律，研究抑制PTA精制钯炭催化剂失活的技术，发展</w:t>
            </w:r>
            <w:r>
              <w:rPr>
                <w:rFonts w:hint="eastAsia" w:ascii="Times New Roman" w:hAnsi="Times New Roman" w:eastAsia="仿宋"/>
                <w:color w:val="auto"/>
                <w:kern w:val="0"/>
                <w:sz w:val="20"/>
                <w:szCs w:val="20"/>
              </w:rPr>
              <w:t>抑制</w:t>
            </w:r>
            <w:r>
              <w:rPr>
                <w:rFonts w:ascii="Times New Roman" w:hAnsi="Times New Roman" w:eastAsia="仿宋"/>
                <w:color w:val="auto"/>
                <w:kern w:val="0"/>
                <w:sz w:val="20"/>
                <w:szCs w:val="20"/>
              </w:rPr>
              <w:t>催化剂</w:t>
            </w:r>
            <w:r>
              <w:rPr>
                <w:rFonts w:hint="eastAsia" w:ascii="Times New Roman" w:hAnsi="Times New Roman" w:eastAsia="仿宋"/>
                <w:color w:val="auto"/>
                <w:kern w:val="0"/>
                <w:sz w:val="20"/>
                <w:szCs w:val="20"/>
              </w:rPr>
              <w:t>失活的</w:t>
            </w:r>
            <w:r>
              <w:rPr>
                <w:rFonts w:ascii="Times New Roman" w:hAnsi="Times New Roman" w:eastAsia="仿宋"/>
                <w:color w:val="auto"/>
                <w:kern w:val="0"/>
                <w:sz w:val="20"/>
                <w:szCs w:val="20"/>
              </w:rPr>
              <w:t>技术。</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（4）催化剂“小试—中试—批量”工艺放大及工业应用研究</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开发钯炭催化剂公斤级中试及吨级批量工程化</w:t>
            </w:r>
            <w:r>
              <w:rPr>
                <w:rFonts w:hint="eastAsia" w:ascii="Times New Roman" w:hAnsi="Times New Roman" w:eastAsia="仿宋"/>
                <w:color w:val="auto"/>
                <w:kern w:val="0"/>
                <w:sz w:val="20"/>
                <w:szCs w:val="20"/>
              </w:rPr>
              <w:t>制备</w:t>
            </w:r>
            <w:r>
              <w:rPr>
                <w:rFonts w:ascii="Times New Roman" w:hAnsi="Times New Roman" w:eastAsia="仿宋"/>
                <w:color w:val="auto"/>
                <w:kern w:val="0"/>
                <w:sz w:val="20"/>
                <w:szCs w:val="20"/>
              </w:rPr>
              <w:t>技术，建立吨级催化剂中试生产线，形成批量化的钯炭催化剂规模化生产工艺及产线。研究催化剂的</w:t>
            </w:r>
            <w:r>
              <w:rPr>
                <w:rFonts w:hint="eastAsia" w:ascii="Times New Roman" w:hAnsi="Times New Roman" w:eastAsia="仿宋"/>
                <w:color w:val="auto"/>
                <w:kern w:val="0"/>
                <w:sz w:val="20"/>
                <w:szCs w:val="20"/>
              </w:rPr>
              <w:t>工业</w:t>
            </w:r>
            <w:r>
              <w:rPr>
                <w:rFonts w:ascii="Times New Roman" w:hAnsi="Times New Roman" w:eastAsia="仿宋"/>
                <w:color w:val="auto"/>
                <w:kern w:val="0"/>
                <w:sz w:val="20"/>
                <w:szCs w:val="20"/>
              </w:rPr>
              <w:t>寿命预测技术，通过工业装置试验或工业侧线试验，检验评估催化剂的性能，实现吨级催化剂的工业示范应用。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预期技术</w:t>
            </w:r>
          </w:p>
          <w:p>
            <w:pPr>
              <w:snapToGrid w:val="0"/>
              <w:jc w:val="center"/>
              <w:rPr>
                <w:rFonts w:ascii="Times New Roman" w:hAnsi="Times New Roman"/>
                <w:b/>
                <w:bCs/>
                <w:color w:val="auto"/>
                <w:kern w:val="0"/>
                <w:sz w:val="20"/>
              </w:rPr>
            </w:pPr>
            <w:r>
              <w:rPr>
                <w:rFonts w:ascii="Times New Roman" w:hAnsi="Times New Roman"/>
                <w:b/>
                <w:bCs/>
                <w:color w:val="auto"/>
                <w:kern w:val="0"/>
                <w:sz w:val="20"/>
              </w:rPr>
              <w:t>目标</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ind w:firstLine="400" w:firstLineChars="200"/>
              <w:jc w:val="left"/>
              <w:rPr>
                <w:rFonts w:hint="eastAsia" w:ascii="Times New Roman" w:hAnsi="Times New Roman" w:eastAsia="仿宋"/>
                <w:color w:val="auto"/>
                <w:kern w:val="0"/>
                <w:sz w:val="20"/>
                <w:szCs w:val="20"/>
              </w:rPr>
            </w:pPr>
            <w:r>
              <w:rPr>
                <w:rFonts w:ascii="Times New Roman" w:hAnsi="Times New Roman" w:eastAsia="仿宋"/>
                <w:color w:val="auto"/>
                <w:kern w:val="0"/>
                <w:sz w:val="20"/>
                <w:szCs w:val="20"/>
              </w:rPr>
              <w:t>（1）研制一种以上与PTA精制钯炭催化剂制备配套的</w:t>
            </w:r>
            <w:r>
              <w:rPr>
                <w:rFonts w:hint="eastAsia" w:ascii="Times New Roman" w:hAnsi="Times New Roman" w:eastAsia="仿宋"/>
                <w:color w:val="auto"/>
                <w:kern w:val="0"/>
                <w:sz w:val="20"/>
                <w:szCs w:val="20"/>
              </w:rPr>
              <w:t>水溶性</w:t>
            </w:r>
            <w:r>
              <w:rPr>
                <w:rFonts w:ascii="Times New Roman" w:hAnsi="Times New Roman" w:eastAsia="仿宋"/>
                <w:color w:val="auto"/>
                <w:kern w:val="0"/>
                <w:sz w:val="20"/>
                <w:szCs w:val="20"/>
              </w:rPr>
              <w:t>钯前驱体，并在云南省贵金属集团及下属公司建成其中试规模生产能力，实现不少于5 kg/批的批量稳定生产，产品收率＞90%，</w:t>
            </w:r>
            <w:r>
              <w:rPr>
                <w:rFonts w:hint="eastAsia" w:ascii="Times New Roman" w:hAnsi="Times New Roman" w:eastAsia="仿宋"/>
                <w:color w:val="auto"/>
                <w:kern w:val="0"/>
                <w:sz w:val="20"/>
                <w:szCs w:val="20"/>
              </w:rPr>
              <w:t>水溶性大于100g/L（按钯计，25</w:t>
            </w:r>
            <w:r>
              <w:rPr>
                <w:rFonts w:ascii="Times New Roman" w:hAnsi="Times New Roman" w:eastAsia="仿宋"/>
                <w:color w:val="auto"/>
                <w:kern w:val="0"/>
                <w:sz w:val="20"/>
                <w:szCs w:val="20"/>
                <w:vertAlign w:val="superscript"/>
              </w:rPr>
              <w:t>o</w:t>
            </w:r>
            <w:r>
              <w:rPr>
                <w:rFonts w:hint="eastAsia" w:ascii="Times New Roman" w:hAnsi="Times New Roman" w:eastAsia="仿宋"/>
                <w:color w:val="auto"/>
                <w:kern w:val="0"/>
                <w:sz w:val="20"/>
                <w:szCs w:val="20"/>
              </w:rPr>
              <w:t>C），</w:t>
            </w:r>
            <w:r>
              <w:rPr>
                <w:rFonts w:ascii="Times New Roman" w:hAnsi="Times New Roman" w:eastAsia="仿宋"/>
                <w:color w:val="auto"/>
                <w:kern w:val="0"/>
                <w:sz w:val="20"/>
                <w:szCs w:val="20"/>
              </w:rPr>
              <w:t>在云南省贵金属集团及下属公司建立</w:t>
            </w:r>
            <w:r>
              <w:rPr>
                <w:rFonts w:hint="eastAsia" w:ascii="Times New Roman" w:hAnsi="Times New Roman" w:eastAsia="仿宋"/>
                <w:color w:val="auto"/>
                <w:kern w:val="0"/>
                <w:sz w:val="20"/>
                <w:szCs w:val="20"/>
              </w:rPr>
              <w:t>批量大于100kg/批</w:t>
            </w:r>
            <w:r>
              <w:rPr>
                <w:rFonts w:ascii="Times New Roman" w:hAnsi="Times New Roman" w:eastAsia="仿宋"/>
                <w:color w:val="auto"/>
                <w:kern w:val="0"/>
                <w:sz w:val="20"/>
                <w:szCs w:val="20"/>
              </w:rPr>
              <w:t>钯炭催化剂生产线1条</w:t>
            </w:r>
            <w:r>
              <w:rPr>
                <w:rFonts w:hint="eastAsia" w:ascii="Times New Roman" w:hAnsi="Times New Roman" w:eastAsia="仿宋"/>
                <w:color w:val="auto"/>
                <w:kern w:val="0"/>
                <w:sz w:val="20"/>
                <w:szCs w:val="20"/>
              </w:rPr>
              <w:t>。</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（2）催化剂产品指标达到国际先进水平：钯含量0.50±0.02%，含水率40±5%，S﹤300 ppm，Cu﹤30 ppm，Fe﹤100 ppm，磨损率</w:t>
            </w:r>
            <w:bookmarkStart w:id="14" w:name="OLE_LINK6"/>
            <w:r>
              <w:rPr>
                <w:rFonts w:ascii="Times New Roman" w:hAnsi="Times New Roman" w:eastAsia="仿宋"/>
                <w:color w:val="auto"/>
                <w:kern w:val="0"/>
                <w:sz w:val="20"/>
                <w:szCs w:val="20"/>
              </w:rPr>
              <w:t>﹤</w:t>
            </w:r>
            <w:bookmarkEnd w:id="14"/>
            <w:r>
              <w:rPr>
                <w:rFonts w:ascii="Times New Roman" w:hAnsi="Times New Roman" w:eastAsia="仿宋"/>
                <w:color w:val="auto"/>
                <w:kern w:val="0"/>
                <w:sz w:val="20"/>
                <w:szCs w:val="20"/>
              </w:rPr>
              <w:t>1.5%，比表面积﹥1000 m</w:t>
            </w:r>
            <w:r>
              <w:rPr>
                <w:rFonts w:ascii="Times New Roman" w:hAnsi="Times New Roman" w:eastAsia="仿宋"/>
                <w:color w:val="auto"/>
                <w:kern w:val="0"/>
                <w:sz w:val="20"/>
                <w:szCs w:val="20"/>
                <w:vertAlign w:val="superscript"/>
              </w:rPr>
              <w:t>2</w:t>
            </w:r>
            <w:r>
              <w:rPr>
                <w:rFonts w:ascii="Times New Roman" w:hAnsi="Times New Roman" w:eastAsia="仿宋"/>
                <w:color w:val="auto"/>
                <w:kern w:val="0"/>
                <w:sz w:val="20"/>
                <w:szCs w:val="20"/>
              </w:rPr>
              <w:t>/g，堆积密度0.45-0.52 g/mL，水洗粉末</w:t>
            </w:r>
            <w:bookmarkStart w:id="15" w:name="OLE_LINK18"/>
            <w:r>
              <w:rPr>
                <w:rFonts w:ascii="Times New Roman" w:hAnsi="Times New Roman" w:eastAsia="仿宋"/>
                <w:color w:val="auto"/>
                <w:kern w:val="0"/>
                <w:sz w:val="20"/>
                <w:szCs w:val="20"/>
              </w:rPr>
              <w:t>﹤0.15</w:t>
            </w:r>
            <w:bookmarkEnd w:id="15"/>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等指标</w:t>
            </w:r>
            <w:r>
              <w:rPr>
                <w:rFonts w:ascii="Times New Roman" w:hAnsi="Times New Roman" w:eastAsia="仿宋"/>
                <w:color w:val="auto"/>
                <w:kern w:val="0"/>
                <w:sz w:val="20"/>
                <w:szCs w:val="20"/>
              </w:rPr>
              <w:t>；</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hint="eastAsia" w:ascii="Times New Roman" w:hAnsi="Times New Roman" w:eastAsia="仿宋"/>
                <w:color w:val="auto"/>
                <w:kern w:val="0"/>
                <w:sz w:val="20"/>
                <w:szCs w:val="20"/>
              </w:rPr>
              <w:t>（3）形成催化剂性能调变报告和失活抑制报告各1份，</w:t>
            </w:r>
            <w:r>
              <w:rPr>
                <w:rFonts w:ascii="Times New Roman" w:hAnsi="Times New Roman" w:eastAsia="仿宋"/>
                <w:color w:val="auto"/>
                <w:kern w:val="0"/>
                <w:sz w:val="20"/>
                <w:szCs w:val="20"/>
              </w:rPr>
              <w:t>催化剂产品</w:t>
            </w:r>
            <w:r>
              <w:rPr>
                <w:rFonts w:hint="eastAsia" w:ascii="Times New Roman" w:hAnsi="Times New Roman" w:eastAsia="仿宋"/>
                <w:color w:val="auto"/>
                <w:kern w:val="0"/>
                <w:sz w:val="20"/>
                <w:szCs w:val="20"/>
              </w:rPr>
              <w:t>实验室</w:t>
            </w:r>
            <w:r>
              <w:rPr>
                <w:rFonts w:ascii="Times New Roman" w:hAnsi="Times New Roman" w:eastAsia="仿宋"/>
                <w:color w:val="auto"/>
                <w:kern w:val="0"/>
                <w:sz w:val="20"/>
                <w:szCs w:val="20"/>
              </w:rPr>
              <w:t>性能指标：在活性（以4-CBA转化率计）≥ 99.</w:t>
            </w:r>
            <w:r>
              <w:rPr>
                <w:rFonts w:hint="eastAsia" w:ascii="Times New Roman" w:hAnsi="Times New Roman" w:eastAsia="仿宋"/>
                <w:color w:val="auto"/>
                <w:kern w:val="0"/>
                <w:sz w:val="20"/>
                <w:szCs w:val="20"/>
              </w:rPr>
              <w:t>5</w:t>
            </w:r>
            <w:r>
              <w:rPr>
                <w:rFonts w:ascii="Times New Roman" w:hAnsi="Times New Roman" w:eastAsia="仿宋"/>
                <w:color w:val="auto"/>
                <w:kern w:val="0"/>
                <w:sz w:val="20"/>
                <w:szCs w:val="20"/>
              </w:rPr>
              <w:t>%、选择性（以PT计）≥ 99.8%的前提下，催化剂在实验室高压固定床反应器（280–290 ℃、9.0~9.5</w:t>
            </w:r>
            <w:r>
              <w:rPr>
                <w:rFonts w:hint="eastAsia" w:ascii="Times New Roman" w:hAnsi="Times New Roman" w:eastAsia="仿宋"/>
                <w:color w:val="auto"/>
                <w:kern w:val="0"/>
                <w:sz w:val="20"/>
                <w:szCs w:val="20"/>
              </w:rPr>
              <w:t xml:space="preserve"> </w:t>
            </w:r>
            <w:r>
              <w:rPr>
                <w:rFonts w:ascii="Times New Roman" w:hAnsi="Times New Roman" w:eastAsia="仿宋"/>
                <w:color w:val="auto"/>
                <w:kern w:val="0"/>
                <w:sz w:val="20"/>
                <w:szCs w:val="20"/>
              </w:rPr>
              <w:t xml:space="preserve">MPa，催化剂装填量≥ </w:t>
            </w:r>
            <w:r>
              <w:rPr>
                <w:rFonts w:hint="eastAsia" w:ascii="Times New Roman" w:hAnsi="Times New Roman" w:eastAsia="仿宋"/>
                <w:color w:val="auto"/>
                <w:kern w:val="0"/>
                <w:sz w:val="20"/>
                <w:szCs w:val="20"/>
              </w:rPr>
              <w:t>1</w:t>
            </w:r>
            <w:r>
              <w:rPr>
                <w:rFonts w:ascii="Times New Roman" w:hAnsi="Times New Roman" w:eastAsia="仿宋"/>
                <w:color w:val="auto"/>
                <w:kern w:val="0"/>
                <w:sz w:val="20"/>
                <w:szCs w:val="20"/>
              </w:rPr>
              <w:t>0 g）中的稳定</w:t>
            </w:r>
            <w:r>
              <w:rPr>
                <w:rFonts w:hint="eastAsia" w:ascii="Times New Roman" w:hAnsi="Times New Roman" w:eastAsia="仿宋"/>
                <w:color w:val="auto"/>
                <w:kern w:val="0"/>
                <w:sz w:val="20"/>
                <w:szCs w:val="20"/>
              </w:rPr>
              <w:t>空速下</w:t>
            </w:r>
            <w:r>
              <w:rPr>
                <w:rFonts w:ascii="Times New Roman" w:hAnsi="Times New Roman" w:eastAsia="仿宋"/>
                <w:color w:val="auto"/>
                <w:kern w:val="0"/>
                <w:sz w:val="20"/>
                <w:szCs w:val="20"/>
              </w:rPr>
              <w:t>运行时间不少于</w:t>
            </w:r>
            <w:r>
              <w:rPr>
                <w:rFonts w:hint="eastAsia" w:ascii="Times New Roman" w:hAnsi="Times New Roman" w:eastAsia="仿宋"/>
                <w:color w:val="auto"/>
                <w:kern w:val="0"/>
                <w:sz w:val="20"/>
                <w:szCs w:val="20"/>
              </w:rPr>
              <w:t>15</w:t>
            </w:r>
            <w:r>
              <w:rPr>
                <w:rFonts w:ascii="Times New Roman" w:hAnsi="Times New Roman" w:eastAsia="仿宋"/>
                <w:color w:val="auto"/>
                <w:kern w:val="0"/>
                <w:sz w:val="20"/>
                <w:szCs w:val="20"/>
              </w:rPr>
              <w:t>00小时</w:t>
            </w:r>
            <w:r>
              <w:rPr>
                <w:rFonts w:hint="eastAsia" w:ascii="Times New Roman" w:hAnsi="Times New Roman" w:eastAsia="仿宋"/>
                <w:color w:val="auto"/>
                <w:kern w:val="0"/>
                <w:sz w:val="20"/>
                <w:szCs w:val="20"/>
              </w:rPr>
              <w:t>。</w:t>
            </w:r>
          </w:p>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4</w:t>
            </w:r>
            <w:r>
              <w:rPr>
                <w:rFonts w:ascii="Times New Roman" w:hAnsi="Times New Roman" w:eastAsia="仿宋"/>
                <w:color w:val="auto"/>
                <w:kern w:val="0"/>
                <w:sz w:val="20"/>
                <w:szCs w:val="20"/>
              </w:rPr>
              <w:t>）</w:t>
            </w:r>
            <w:r>
              <w:rPr>
                <w:rFonts w:hint="eastAsia" w:ascii="Times New Roman" w:hAnsi="Times New Roman" w:eastAsia="仿宋"/>
                <w:color w:val="auto"/>
                <w:kern w:val="0"/>
                <w:sz w:val="20"/>
                <w:szCs w:val="20"/>
              </w:rPr>
              <w:t>催化剂</w:t>
            </w:r>
            <w:r>
              <w:rPr>
                <w:rFonts w:ascii="Times New Roman" w:hAnsi="Times New Roman" w:eastAsia="仿宋"/>
                <w:color w:val="auto"/>
                <w:kern w:val="0"/>
                <w:sz w:val="20"/>
                <w:szCs w:val="20"/>
              </w:rPr>
              <w:t>完成装置试验或侧线试验</w:t>
            </w:r>
            <w:r>
              <w:rPr>
                <w:rFonts w:hint="eastAsia" w:ascii="Times New Roman" w:hAnsi="Times New Roman" w:eastAsia="仿宋"/>
                <w:color w:val="auto"/>
                <w:kern w:val="0"/>
                <w:sz w:val="20"/>
                <w:szCs w:val="20"/>
              </w:rPr>
              <w:t>，性能达到国际先进水平</w:t>
            </w:r>
            <w:r>
              <w:rPr>
                <w:rFonts w:ascii="Times New Roman" w:hAnsi="Times New Roman" w:eastAsia="仿宋"/>
                <w:color w:val="auto"/>
                <w:kern w:val="0"/>
                <w:sz w:val="20"/>
                <w:szCs w:val="20"/>
              </w:rPr>
              <w:t>，</w:t>
            </w:r>
            <w:bookmarkStart w:id="16" w:name="OLE_LINK14"/>
            <w:r>
              <w:rPr>
                <w:rFonts w:ascii="Times New Roman" w:hAnsi="Times New Roman" w:eastAsia="仿宋"/>
                <w:color w:val="auto"/>
                <w:kern w:val="0"/>
                <w:sz w:val="20"/>
                <w:szCs w:val="20"/>
              </w:rPr>
              <w:t>经</w:t>
            </w:r>
            <w:r>
              <w:rPr>
                <w:rFonts w:hint="eastAsia" w:ascii="Times New Roman" w:hAnsi="Times New Roman" w:eastAsia="仿宋"/>
                <w:color w:val="auto"/>
                <w:kern w:val="0"/>
                <w:sz w:val="20"/>
                <w:szCs w:val="20"/>
              </w:rPr>
              <w:t>实际工况下连续</w:t>
            </w:r>
            <w:r>
              <w:rPr>
                <w:rFonts w:ascii="Times New Roman" w:hAnsi="Times New Roman" w:eastAsia="仿宋"/>
                <w:color w:val="auto"/>
                <w:kern w:val="0"/>
                <w:sz w:val="20"/>
                <w:szCs w:val="20"/>
              </w:rPr>
              <w:t>运行</w:t>
            </w:r>
            <w:r>
              <w:rPr>
                <w:rFonts w:hint="eastAsia" w:ascii="Times New Roman" w:hAnsi="Times New Roman" w:eastAsia="仿宋"/>
                <w:color w:val="auto"/>
                <w:kern w:val="0"/>
                <w:sz w:val="20"/>
                <w:szCs w:val="20"/>
              </w:rPr>
              <w:t>168 h</w:t>
            </w:r>
            <w:r>
              <w:rPr>
                <w:rFonts w:ascii="Times New Roman" w:hAnsi="Times New Roman" w:eastAsia="仿宋"/>
                <w:color w:val="auto"/>
                <w:kern w:val="0"/>
                <w:sz w:val="20"/>
                <w:szCs w:val="20"/>
              </w:rPr>
              <w:t>标定，</w:t>
            </w:r>
            <w:r>
              <w:rPr>
                <w:rFonts w:hint="eastAsia" w:ascii="Times New Roman" w:hAnsi="Times New Roman" w:eastAsia="仿宋"/>
                <w:color w:val="auto"/>
                <w:kern w:val="0"/>
                <w:sz w:val="20"/>
                <w:szCs w:val="20"/>
              </w:rPr>
              <w:t>在保证4-CBA浓度脱除至25ppm以下的情况下，</w:t>
            </w:r>
            <w:r>
              <w:rPr>
                <w:rFonts w:ascii="Times New Roman" w:hAnsi="Times New Roman" w:eastAsia="仿宋"/>
                <w:color w:val="auto"/>
                <w:kern w:val="0"/>
                <w:sz w:val="20"/>
                <w:szCs w:val="20"/>
              </w:rPr>
              <w:t>实现催化剂生产能力达到</w:t>
            </w:r>
            <w:r>
              <w:rPr>
                <w:rFonts w:hint="eastAsia" w:ascii="Times New Roman" w:hAnsi="Times New Roman" w:eastAsia="仿宋"/>
                <w:color w:val="auto"/>
                <w:kern w:val="0"/>
                <w:sz w:val="20"/>
                <w:szCs w:val="20"/>
              </w:rPr>
              <w:t>7</w:t>
            </w:r>
            <w:r>
              <w:rPr>
                <w:rFonts w:ascii="Times New Roman" w:hAnsi="Times New Roman" w:eastAsia="仿宋"/>
                <w:color w:val="auto"/>
                <w:kern w:val="0"/>
                <w:sz w:val="20"/>
                <w:szCs w:val="20"/>
              </w:rPr>
              <w:t>0吨PTA/kg催化剂</w:t>
            </w:r>
            <w:bookmarkEnd w:id="16"/>
            <w:r>
              <w:rPr>
                <w:rFonts w:hint="eastAsia" w:ascii="Times New Roman" w:hAnsi="Times New Roman" w:eastAsia="仿宋"/>
                <w:color w:val="auto"/>
                <w:kern w:val="0"/>
                <w:sz w:val="20"/>
                <w:szCs w:val="20"/>
              </w:rPr>
              <w:t>。</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预期经济</w:t>
            </w:r>
          </w:p>
          <w:p>
            <w:pPr>
              <w:snapToGrid w:val="0"/>
              <w:jc w:val="center"/>
              <w:rPr>
                <w:rFonts w:ascii="Times New Roman" w:hAnsi="Times New Roman"/>
                <w:b/>
                <w:bCs/>
                <w:color w:val="auto"/>
                <w:kern w:val="0"/>
                <w:sz w:val="20"/>
              </w:rPr>
            </w:pPr>
            <w:r>
              <w:rPr>
                <w:rFonts w:ascii="Times New Roman" w:hAnsi="Times New Roman"/>
                <w:b/>
                <w:bCs/>
                <w:color w:val="auto"/>
                <w:kern w:val="0"/>
                <w:sz w:val="20"/>
              </w:rPr>
              <w:t>社会生态</w:t>
            </w:r>
          </w:p>
          <w:p>
            <w:pPr>
              <w:snapToGrid w:val="0"/>
              <w:jc w:val="center"/>
              <w:rPr>
                <w:rFonts w:ascii="Times New Roman" w:hAnsi="Times New Roman"/>
                <w:b/>
                <w:bCs/>
                <w:color w:val="auto"/>
                <w:kern w:val="0"/>
                <w:sz w:val="20"/>
              </w:rPr>
            </w:pPr>
            <w:r>
              <w:rPr>
                <w:rFonts w:ascii="Times New Roman" w:hAnsi="Times New Roman"/>
                <w:b/>
                <w:bCs/>
                <w:color w:val="auto"/>
                <w:kern w:val="0"/>
                <w:sz w:val="20"/>
              </w:rPr>
              <w:t>效益</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ind w:firstLine="400" w:firstLineChars="200"/>
              <w:jc w:val="left"/>
              <w:rPr>
                <w:rFonts w:ascii="Times New Roman" w:hAnsi="Times New Roman" w:eastAsia="仿宋"/>
                <w:color w:val="auto"/>
                <w:kern w:val="0"/>
                <w:sz w:val="20"/>
                <w:szCs w:val="20"/>
              </w:rPr>
            </w:pPr>
            <w:r>
              <w:rPr>
                <w:rFonts w:ascii="Times New Roman" w:hAnsi="Times New Roman" w:eastAsia="仿宋"/>
                <w:color w:val="auto"/>
                <w:kern w:val="0"/>
                <w:sz w:val="20"/>
                <w:szCs w:val="20"/>
              </w:rPr>
              <w:t>通过项目实施，开发出具有自主知识产权的PTA精制钯炭催化剂新产品1种和配套的</w:t>
            </w:r>
            <w:r>
              <w:rPr>
                <w:rFonts w:hint="eastAsia" w:ascii="Times New Roman" w:hAnsi="Times New Roman" w:eastAsia="仿宋"/>
                <w:color w:val="auto"/>
                <w:kern w:val="0"/>
                <w:sz w:val="20"/>
                <w:szCs w:val="20"/>
              </w:rPr>
              <w:t>新型水溶性</w:t>
            </w:r>
            <w:r>
              <w:rPr>
                <w:rFonts w:ascii="Times New Roman" w:hAnsi="Times New Roman" w:eastAsia="仿宋"/>
                <w:color w:val="auto"/>
                <w:kern w:val="0"/>
                <w:sz w:val="20"/>
                <w:szCs w:val="20"/>
              </w:rPr>
              <w:t>钯前驱体产品1种，在云南省贵金属集团及其下属单位建立相应的中试规模生产能力，实现催化剂在工业装置上的工业化示范应用，产品</w:t>
            </w:r>
            <w:r>
              <w:rPr>
                <w:rFonts w:hint="eastAsia" w:ascii="Times New Roman" w:hAnsi="Times New Roman" w:eastAsia="仿宋"/>
                <w:color w:val="auto"/>
                <w:kern w:val="0"/>
                <w:sz w:val="20"/>
                <w:szCs w:val="20"/>
              </w:rPr>
              <w:t>物性</w:t>
            </w:r>
            <w:r>
              <w:rPr>
                <w:rFonts w:ascii="Times New Roman" w:hAnsi="Times New Roman" w:eastAsia="仿宋"/>
                <w:color w:val="auto"/>
                <w:kern w:val="0"/>
                <w:sz w:val="20"/>
                <w:szCs w:val="20"/>
              </w:rPr>
              <w:t>指标和性能指标达到替代进口催化剂的要求。钯前驱体及钯炭催化剂累计形成销售收入1000万元，培养该领域科技人才3名以上。提升国内PTA装置配套国产催化剂的供给能力，增强贵金属钯-钯前驱体-钯炭催化剂-失效钯炭催化剂钯循环利用产业链水平，形成高端</w:t>
            </w:r>
            <w:r>
              <w:rPr>
                <w:rFonts w:hint="eastAsia" w:ascii="Times New Roman" w:hAnsi="Times New Roman" w:eastAsia="仿宋"/>
                <w:color w:val="auto"/>
                <w:kern w:val="0"/>
                <w:sz w:val="20"/>
                <w:szCs w:val="20"/>
              </w:rPr>
              <w:t>国产</w:t>
            </w:r>
            <w:r>
              <w:rPr>
                <w:rFonts w:ascii="Times New Roman" w:hAnsi="Times New Roman" w:eastAsia="仿宋"/>
                <w:color w:val="auto"/>
                <w:kern w:val="0"/>
                <w:sz w:val="20"/>
                <w:szCs w:val="20"/>
              </w:rPr>
              <w:t>贵金属钯炭催化剂，促进</w:t>
            </w:r>
            <w:r>
              <w:rPr>
                <w:rFonts w:hint="eastAsia" w:ascii="Times New Roman" w:hAnsi="Times New Roman" w:eastAsia="仿宋"/>
                <w:color w:val="auto"/>
                <w:kern w:val="0"/>
                <w:sz w:val="20"/>
                <w:szCs w:val="20"/>
              </w:rPr>
              <w:t>稀贵金属新材料产业和PTA产业</w:t>
            </w:r>
            <w:r>
              <w:rPr>
                <w:rFonts w:ascii="Times New Roman" w:hAnsi="Times New Roman" w:eastAsia="仿宋"/>
                <w:color w:val="auto"/>
                <w:kern w:val="0"/>
                <w:sz w:val="20"/>
                <w:szCs w:val="20"/>
              </w:rPr>
              <w:t>的可持续发展。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时限要求</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jc w:val="left"/>
              <w:rPr>
                <w:rFonts w:hint="eastAsia" w:ascii="Times New Roman" w:hAnsi="Times New Roman" w:eastAsia="仿宋"/>
                <w:color w:val="auto"/>
                <w:kern w:val="0"/>
                <w:sz w:val="20"/>
                <w:szCs w:val="20"/>
                <w:lang w:eastAsia="zh-CN"/>
              </w:rPr>
            </w:pPr>
            <w:r>
              <w:rPr>
                <w:rFonts w:ascii="Times New Roman" w:hAnsi="Times New Roman" w:eastAsia="仿宋"/>
                <w:color w:val="auto"/>
                <w:kern w:val="0"/>
                <w:sz w:val="20"/>
                <w:szCs w:val="20"/>
              </w:rPr>
              <w:t>3年</w:t>
            </w:r>
            <w:r>
              <w:rPr>
                <w:rFonts w:hint="eastAsia" w:ascii="Times New Roman" w:hAnsi="Times New Roman" w:eastAsia="仿宋"/>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color w:val="auto"/>
                <w:kern w:val="0"/>
                <w:sz w:val="20"/>
              </w:rPr>
            </w:pPr>
            <w:r>
              <w:rPr>
                <w:rFonts w:ascii="Times New Roman" w:hAnsi="Times New Roman"/>
                <w:b/>
                <w:bCs/>
                <w:color w:val="auto"/>
                <w:kern w:val="0"/>
                <w:sz w:val="20"/>
              </w:rPr>
              <w:t>产权归属</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shd w:val="clear" w:color="auto" w:fill="FFFFFF"/>
              <w:overflowPunct w:val="0"/>
              <w:adjustRightInd w:val="0"/>
              <w:snapToGrid w:val="0"/>
              <w:spacing w:line="280" w:lineRule="exact"/>
              <w:jc w:val="left"/>
              <w:rPr>
                <w:rFonts w:hint="eastAsia" w:ascii="Times New Roman" w:hAnsi="Times New Roman" w:eastAsia="仿宋"/>
                <w:color w:val="auto"/>
                <w:kern w:val="0"/>
                <w:sz w:val="20"/>
                <w:szCs w:val="20"/>
                <w:lang w:eastAsia="zh-CN"/>
              </w:rPr>
            </w:pPr>
            <w:r>
              <w:rPr>
                <w:rFonts w:ascii="Times New Roman" w:hAnsi="Times New Roman" w:eastAsia="仿宋"/>
                <w:color w:val="auto"/>
                <w:kern w:val="0"/>
                <w:sz w:val="20"/>
                <w:szCs w:val="20"/>
              </w:rPr>
              <w:t>云南贵金属实验室</w:t>
            </w:r>
            <w:r>
              <w:rPr>
                <w:rFonts w:hint="eastAsia" w:ascii="Times New Roman" w:hAnsi="Times New Roman" w:eastAsia="仿宋"/>
                <w:color w:val="auto"/>
                <w:kern w:val="0"/>
                <w:sz w:val="20"/>
                <w:szCs w:val="20"/>
              </w:rPr>
              <w:t>、贵研化学材料（云南）有限公司共同</w:t>
            </w:r>
            <w:r>
              <w:rPr>
                <w:rFonts w:ascii="Times New Roman" w:hAnsi="Times New Roman" w:eastAsia="仿宋"/>
                <w:color w:val="auto"/>
                <w:kern w:val="0"/>
                <w:sz w:val="20"/>
                <w:szCs w:val="20"/>
              </w:rPr>
              <w:t>所有</w:t>
            </w:r>
            <w:r>
              <w:rPr>
                <w:rFonts w:hint="eastAsia" w:ascii="Times New Roman" w:hAnsi="Times New Roman" w:eastAsia="仿宋"/>
                <w:color w:val="auto"/>
                <w:kern w:val="0"/>
                <w:sz w:val="20"/>
                <w:szCs w:val="20"/>
                <w:lang w:eastAsia="zh-CN"/>
              </w:rPr>
              <w:t>。</w:t>
            </w:r>
          </w:p>
        </w:tc>
      </w:tr>
    </w:tbl>
    <w:p>
      <w:pPr>
        <w:rPr>
          <w:rFonts w:ascii="Times New Roman" w:hAnsi="Times New Roman"/>
        </w:rPr>
      </w:pPr>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B2FB2"/>
    <w:rsid w:val="000F1CC1"/>
    <w:rsid w:val="001210DE"/>
    <w:rsid w:val="0015303F"/>
    <w:rsid w:val="002338C3"/>
    <w:rsid w:val="00240275"/>
    <w:rsid w:val="00256AA3"/>
    <w:rsid w:val="002B0F22"/>
    <w:rsid w:val="00330B48"/>
    <w:rsid w:val="00357100"/>
    <w:rsid w:val="00364ABE"/>
    <w:rsid w:val="003B47DE"/>
    <w:rsid w:val="003D63AB"/>
    <w:rsid w:val="00404E77"/>
    <w:rsid w:val="00442FCE"/>
    <w:rsid w:val="00497812"/>
    <w:rsid w:val="0052105A"/>
    <w:rsid w:val="00720514"/>
    <w:rsid w:val="00842DEF"/>
    <w:rsid w:val="008470F5"/>
    <w:rsid w:val="0092224D"/>
    <w:rsid w:val="00977522"/>
    <w:rsid w:val="00994FE9"/>
    <w:rsid w:val="00A17C2E"/>
    <w:rsid w:val="00B44546"/>
    <w:rsid w:val="00B62F0A"/>
    <w:rsid w:val="00B6465C"/>
    <w:rsid w:val="00C25E74"/>
    <w:rsid w:val="00C42497"/>
    <w:rsid w:val="00D03E67"/>
    <w:rsid w:val="00DE79A1"/>
    <w:rsid w:val="00E04743"/>
    <w:rsid w:val="00E86D60"/>
    <w:rsid w:val="00F905F9"/>
    <w:rsid w:val="132C17F7"/>
    <w:rsid w:val="1B235FCC"/>
    <w:rsid w:val="2F77EECF"/>
    <w:rsid w:val="3F2A77AD"/>
    <w:rsid w:val="685B2FB2"/>
    <w:rsid w:val="FF6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1"/>
    <w:qFormat/>
    <w:uiPriority w:val="0"/>
    <w:rPr>
      <w:b/>
      <w:bCs/>
    </w:rPr>
  </w:style>
  <w:style w:type="character" w:styleId="8">
    <w:name w:val="annotation reference"/>
    <w:basedOn w:val="7"/>
    <w:qFormat/>
    <w:uiPriority w:val="0"/>
    <w:rPr>
      <w:sz w:val="21"/>
      <w:szCs w:val="21"/>
    </w:rPr>
  </w:style>
  <w:style w:type="paragraph" w:customStyle="1" w:styleId="9">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0">
    <w:name w:val="批注文字 字符"/>
    <w:basedOn w:val="7"/>
    <w:link w:val="2"/>
    <w:qFormat/>
    <w:uiPriority w:val="0"/>
    <w:rPr>
      <w:rFonts w:ascii="Calibri" w:hAnsi="Calibri" w:eastAsia="宋体" w:cs="Times New Roman"/>
      <w:kern w:val="2"/>
      <w:sz w:val="21"/>
      <w:szCs w:val="24"/>
    </w:rPr>
  </w:style>
  <w:style w:type="character" w:customStyle="1" w:styleId="11">
    <w:name w:val="批注主题 字符"/>
    <w:basedOn w:val="10"/>
    <w:link w:val="5"/>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2330</Words>
  <Characters>2739</Characters>
  <Lines>34</Lines>
  <Paragraphs>9</Paragraphs>
  <TotalTime>2</TotalTime>
  <ScaleCrop>false</ScaleCrop>
  <LinksUpToDate>false</LinksUpToDate>
  <CharactersWithSpaces>2768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2026-05-04T23:53:00Z</dcterms:created>
  <dc:creator>Valiant_cay</dc:creator>
  <cp:lastModifiedBy>李长生</cp:lastModifiedBy>
  <dcterms:modified xsi:type="dcterms:W3CDTF">2026-05-17T12:49:36Z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DE0579FC851144E9AA23E2741E6CBF18_11</vt:lpwstr>
  </property>
  <property fmtid="{D5CDD505-2E9C-101B-9397-08002B2CF9AE}" pid="4" name="KSOTemplateDocerSaveRecord">
    <vt:lpwstr>eyJoZGlkIjoiMzEwNTM5NzYwMDRjMzkwZTVkZjY2ODkwMGIxNGU0OTUiLCJ1c2VySWQiOiI0MjIwMTM4NTcifQ==</vt:lpwstr>
  </property>
</Properties>
</file>